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DC2" w:rsidRDefault="00F2765B">
      <w:pPr>
        <w:widowControl/>
        <w:spacing w:line="360" w:lineRule="auto"/>
        <w:jc w:val="left"/>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附件</w:t>
      </w: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w:t>
      </w:r>
      <w:bookmarkStart w:id="0" w:name="_Toc17843"/>
    </w:p>
    <w:p w:rsidR="00801DC2" w:rsidRDefault="00F2765B">
      <w:pPr>
        <w:widowControl/>
        <w:spacing w:afterLines="100" w:after="312" w:line="360" w:lineRule="auto"/>
        <w:jc w:val="center"/>
        <w:textAlignment w:val="center"/>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2021</w:t>
      </w:r>
      <w:r>
        <w:rPr>
          <w:rFonts w:ascii="Times New Roman" w:eastAsia="仿宋_GB2312" w:hAnsi="Times New Roman" w:cs="Times New Roman"/>
          <w:b/>
          <w:bCs/>
          <w:kern w:val="0"/>
          <w:sz w:val="32"/>
          <w:szCs w:val="32"/>
        </w:rPr>
        <w:t>年</w:t>
      </w:r>
      <w:r>
        <w:rPr>
          <w:rFonts w:ascii="Times New Roman" w:eastAsia="仿宋_GB2312" w:hAnsi="Times New Roman" w:cs="Times New Roman"/>
          <w:b/>
          <w:bCs/>
          <w:kern w:val="0"/>
          <w:sz w:val="32"/>
          <w:szCs w:val="32"/>
        </w:rPr>
        <w:t>“0703”+“</w:t>
      </w:r>
      <w:r>
        <w:rPr>
          <w:rFonts w:ascii="Times New Roman" w:eastAsia="仿宋_GB2312" w:hAnsi="Times New Roman" w:cs="Times New Roman"/>
          <w:b/>
          <w:bCs/>
          <w:kern w:val="0"/>
          <w:sz w:val="32"/>
          <w:szCs w:val="32"/>
        </w:rPr>
        <w:t>化学</w:t>
      </w:r>
      <w:r>
        <w:rPr>
          <w:rFonts w:ascii="Times New Roman" w:eastAsia="仿宋_GB2312" w:hAnsi="Times New Roman" w:cs="Times New Roman"/>
          <w:b/>
          <w:bCs/>
          <w:kern w:val="0"/>
          <w:sz w:val="32"/>
          <w:szCs w:val="32"/>
        </w:rPr>
        <w:t>”</w:t>
      </w:r>
      <w:r>
        <w:rPr>
          <w:rFonts w:ascii="Times New Roman" w:eastAsia="仿宋_GB2312" w:hAnsi="Times New Roman" w:cs="Times New Roman"/>
          <w:b/>
          <w:bCs/>
          <w:kern w:val="0"/>
          <w:sz w:val="32"/>
          <w:szCs w:val="32"/>
        </w:rPr>
        <w:t>博士研究生培养方案</w:t>
      </w:r>
      <w:bookmarkEnd w:id="0"/>
    </w:p>
    <w:tbl>
      <w:tblPr>
        <w:tblW w:w="9105" w:type="dxa"/>
        <w:tblLayout w:type="fixed"/>
        <w:tblCellMar>
          <w:top w:w="15" w:type="dxa"/>
          <w:left w:w="15" w:type="dxa"/>
          <w:bottom w:w="15" w:type="dxa"/>
          <w:right w:w="15" w:type="dxa"/>
        </w:tblCellMar>
        <w:tblLook w:val="04A0" w:firstRow="1" w:lastRow="0" w:firstColumn="1" w:lastColumn="0" w:noHBand="0" w:noVBand="1"/>
      </w:tblPr>
      <w:tblGrid>
        <w:gridCol w:w="1431"/>
        <w:gridCol w:w="143"/>
        <w:gridCol w:w="880"/>
        <w:gridCol w:w="1951"/>
        <w:gridCol w:w="570"/>
        <w:gridCol w:w="1131"/>
        <w:gridCol w:w="543"/>
        <w:gridCol w:w="879"/>
        <w:gridCol w:w="140"/>
        <w:gridCol w:w="1437"/>
      </w:tblGrid>
      <w:tr w:rsidR="00801DC2">
        <w:trPr>
          <w:trHeight w:val="567"/>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所属培养单位</w:t>
            </w:r>
          </w:p>
        </w:tc>
        <w:tc>
          <w:tcPr>
            <w:tcW w:w="34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化学化工学院</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培养层次</w:t>
            </w:r>
          </w:p>
        </w:tc>
        <w:tc>
          <w:tcPr>
            <w:tcW w:w="29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博士</w:t>
            </w:r>
          </w:p>
        </w:tc>
      </w:tr>
      <w:tr w:rsidR="00801DC2">
        <w:trPr>
          <w:trHeight w:val="567"/>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一级学科名称</w:t>
            </w:r>
          </w:p>
        </w:tc>
        <w:tc>
          <w:tcPr>
            <w:tcW w:w="34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化学</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学科代码</w:t>
            </w:r>
          </w:p>
        </w:tc>
        <w:tc>
          <w:tcPr>
            <w:tcW w:w="29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0703</w:t>
            </w:r>
          </w:p>
        </w:tc>
      </w:tr>
      <w:tr w:rsidR="00801DC2">
        <w:trPr>
          <w:trHeight w:val="567"/>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适用年级</w:t>
            </w:r>
          </w:p>
        </w:tc>
        <w:tc>
          <w:tcPr>
            <w:tcW w:w="34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从</w:t>
            </w: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级开始适用</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修订时间</w:t>
            </w:r>
          </w:p>
        </w:tc>
        <w:tc>
          <w:tcPr>
            <w:tcW w:w="299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u w:val="single"/>
              </w:rPr>
            </w:pP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年</w:t>
            </w:r>
            <w:r>
              <w:rPr>
                <w:rFonts w:ascii="Times New Roman" w:eastAsia="仿宋_GB2312" w:hAnsi="Times New Roman" w:cs="Times New Roman"/>
                <w:color w:val="000000"/>
                <w:kern w:val="0"/>
                <w:sz w:val="24"/>
                <w:szCs w:val="24"/>
                <w:lang w:bidi="ar"/>
              </w:rPr>
              <w:t>6</w:t>
            </w:r>
            <w:r>
              <w:rPr>
                <w:rFonts w:ascii="Times New Roman" w:eastAsia="仿宋_GB2312" w:hAnsi="Times New Roman" w:cs="Times New Roman"/>
                <w:color w:val="000000"/>
                <w:kern w:val="0"/>
                <w:sz w:val="24"/>
                <w:szCs w:val="24"/>
                <w:lang w:bidi="ar"/>
              </w:rPr>
              <w:t>月</w:t>
            </w:r>
          </w:p>
        </w:tc>
      </w:tr>
      <w:tr w:rsidR="00801DC2">
        <w:trPr>
          <w:trHeight w:val="1005"/>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覆盖二级学科</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spacing w:line="312" w:lineRule="auto"/>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无机化学（</w:t>
            </w:r>
            <w:r>
              <w:rPr>
                <w:rFonts w:ascii="Times New Roman" w:eastAsia="仿宋_GB2312" w:hAnsi="Times New Roman" w:cs="Times New Roman"/>
                <w:color w:val="000000"/>
                <w:kern w:val="0"/>
                <w:sz w:val="24"/>
                <w:szCs w:val="24"/>
                <w:lang w:bidi="ar"/>
              </w:rPr>
              <w:t>070301</w:t>
            </w:r>
            <w:r>
              <w:rPr>
                <w:rFonts w:ascii="Times New Roman" w:eastAsia="仿宋_GB2312" w:hAnsi="Times New Roman" w:cs="Times New Roman"/>
                <w:color w:val="000000"/>
                <w:kern w:val="0"/>
                <w:sz w:val="24"/>
                <w:szCs w:val="24"/>
                <w:lang w:bidi="ar"/>
              </w:rPr>
              <w:t>）、分析化学（</w:t>
            </w:r>
            <w:r>
              <w:rPr>
                <w:rFonts w:ascii="Times New Roman" w:eastAsia="仿宋_GB2312" w:hAnsi="Times New Roman" w:cs="Times New Roman"/>
                <w:color w:val="000000"/>
                <w:kern w:val="0"/>
                <w:sz w:val="24"/>
                <w:szCs w:val="24"/>
                <w:lang w:bidi="ar"/>
              </w:rPr>
              <w:t>070302</w:t>
            </w:r>
            <w:r>
              <w:rPr>
                <w:rFonts w:ascii="Times New Roman" w:eastAsia="仿宋_GB2312" w:hAnsi="Times New Roman" w:cs="Times New Roman"/>
                <w:color w:val="000000"/>
                <w:kern w:val="0"/>
                <w:sz w:val="24"/>
                <w:szCs w:val="24"/>
                <w:lang w:bidi="ar"/>
              </w:rPr>
              <w:t>）、有机化学（</w:t>
            </w:r>
            <w:r>
              <w:rPr>
                <w:rFonts w:ascii="Times New Roman" w:eastAsia="仿宋_GB2312" w:hAnsi="Times New Roman" w:cs="Times New Roman"/>
                <w:color w:val="000000"/>
                <w:kern w:val="0"/>
                <w:sz w:val="24"/>
                <w:szCs w:val="24"/>
                <w:lang w:bidi="ar"/>
              </w:rPr>
              <w:t>070303</w:t>
            </w:r>
            <w:r>
              <w:rPr>
                <w:rFonts w:ascii="Times New Roman" w:eastAsia="仿宋_GB2312" w:hAnsi="Times New Roman" w:cs="Times New Roman"/>
                <w:color w:val="000000"/>
                <w:kern w:val="0"/>
                <w:sz w:val="24"/>
                <w:szCs w:val="24"/>
                <w:lang w:bidi="ar"/>
              </w:rPr>
              <w:t>）、物理化学（</w:t>
            </w:r>
            <w:r>
              <w:rPr>
                <w:rFonts w:ascii="Times New Roman" w:eastAsia="仿宋_GB2312" w:hAnsi="Times New Roman" w:cs="Times New Roman"/>
                <w:color w:val="000000"/>
                <w:kern w:val="0"/>
                <w:sz w:val="24"/>
                <w:szCs w:val="24"/>
                <w:lang w:bidi="ar"/>
              </w:rPr>
              <w:t>070304</w:t>
            </w:r>
            <w:r>
              <w:rPr>
                <w:rFonts w:ascii="Times New Roman" w:eastAsia="仿宋_GB2312" w:hAnsi="Times New Roman" w:cs="Times New Roman"/>
                <w:color w:val="000000"/>
                <w:kern w:val="0"/>
                <w:sz w:val="24"/>
                <w:szCs w:val="24"/>
                <w:lang w:bidi="ar"/>
              </w:rPr>
              <w:t>）、高分子化学与物理（</w:t>
            </w:r>
            <w:r>
              <w:rPr>
                <w:rFonts w:ascii="Times New Roman" w:eastAsia="仿宋_GB2312" w:hAnsi="Times New Roman" w:cs="Times New Roman"/>
                <w:color w:val="000000"/>
                <w:kern w:val="0"/>
                <w:sz w:val="24"/>
                <w:szCs w:val="24"/>
                <w:lang w:bidi="ar"/>
              </w:rPr>
              <w:t>070305</w:t>
            </w:r>
            <w:r>
              <w:rPr>
                <w:rFonts w:ascii="Times New Roman" w:eastAsia="仿宋_GB2312" w:hAnsi="Times New Roman" w:cs="Times New Roman"/>
                <w:color w:val="000000"/>
                <w:kern w:val="0"/>
                <w:sz w:val="24"/>
                <w:szCs w:val="24"/>
                <w:lang w:bidi="ar"/>
              </w:rPr>
              <w:t>）、化学生物学（</w:t>
            </w:r>
            <w:r>
              <w:rPr>
                <w:rFonts w:ascii="Times New Roman" w:eastAsia="仿宋_GB2312" w:hAnsi="Times New Roman" w:cs="Times New Roman"/>
                <w:color w:val="000000"/>
                <w:kern w:val="0"/>
                <w:sz w:val="24"/>
                <w:szCs w:val="24"/>
                <w:lang w:bidi="ar"/>
              </w:rPr>
              <w:t>0703Z0</w:t>
            </w:r>
            <w:r>
              <w:rPr>
                <w:rFonts w:ascii="Times New Roman" w:eastAsia="仿宋_GB2312" w:hAnsi="Times New Roman" w:cs="Times New Roman"/>
                <w:color w:val="000000"/>
                <w:kern w:val="0"/>
                <w:sz w:val="24"/>
                <w:szCs w:val="24"/>
                <w:lang w:bidi="ar"/>
              </w:rPr>
              <w:t>）</w:t>
            </w:r>
          </w:p>
        </w:tc>
      </w:tr>
      <w:tr w:rsidR="00801DC2">
        <w:trPr>
          <w:trHeight w:val="62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学制</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年（最长不超过</w:t>
            </w:r>
            <w:r>
              <w:rPr>
                <w:rFonts w:ascii="Times New Roman" w:eastAsia="仿宋_GB2312" w:hAnsi="Times New Roman" w:cs="Times New Roman"/>
                <w:color w:val="000000"/>
                <w:kern w:val="0"/>
                <w:sz w:val="24"/>
                <w:szCs w:val="24"/>
                <w:lang w:bidi="ar"/>
              </w:rPr>
              <w:t>6</w:t>
            </w:r>
            <w:r>
              <w:rPr>
                <w:rFonts w:ascii="Times New Roman" w:eastAsia="仿宋_GB2312" w:hAnsi="Times New Roman" w:cs="Times New Roman"/>
                <w:color w:val="000000"/>
                <w:kern w:val="0"/>
                <w:sz w:val="24"/>
                <w:szCs w:val="24"/>
                <w:lang w:bidi="ar"/>
              </w:rPr>
              <w:t>年）</w:t>
            </w:r>
          </w:p>
        </w:tc>
      </w:tr>
      <w:tr w:rsidR="00801DC2">
        <w:trPr>
          <w:trHeight w:val="624"/>
        </w:trPr>
        <w:tc>
          <w:tcPr>
            <w:tcW w:w="1574" w:type="dxa"/>
            <w:gridSpan w:val="2"/>
            <w:tcBorders>
              <w:top w:val="single" w:sz="4" w:space="0" w:color="000000"/>
              <w:left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学分设置</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12" w:lineRule="auto"/>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博士：总学分</w:t>
            </w:r>
            <w:r>
              <w:rPr>
                <w:rFonts w:ascii="Times New Roman" w:eastAsia="仿宋_GB2312" w:hAnsi="Times New Roman" w:cs="Times New Roman"/>
                <w:color w:val="000000"/>
                <w:kern w:val="0"/>
                <w:sz w:val="24"/>
                <w:szCs w:val="24"/>
              </w:rPr>
              <w:t>2</w:t>
            </w:r>
            <w:r>
              <w:rPr>
                <w:rFonts w:ascii="Times New Roman" w:eastAsia="仿宋_GB2312" w:hAnsi="Times New Roman" w:cs="Times New Roman" w:hint="eastAsia"/>
                <w:color w:val="000000"/>
                <w:kern w:val="0"/>
                <w:sz w:val="24"/>
                <w:szCs w:val="24"/>
              </w:rPr>
              <w:t>4</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color w:val="000000"/>
                <w:kern w:val="0"/>
                <w:sz w:val="24"/>
                <w:szCs w:val="24"/>
              </w:rPr>
              <w:t>1</w:t>
            </w:r>
            <w:r>
              <w:rPr>
                <w:rFonts w:ascii="Times New Roman" w:eastAsia="仿宋_GB2312" w:hAnsi="Times New Roman" w:cs="Times New Roman" w:hint="eastAsia"/>
                <w:color w:val="000000"/>
                <w:kern w:val="0"/>
                <w:sz w:val="24"/>
                <w:szCs w:val="24"/>
              </w:rPr>
              <w:t>9</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学分；</w:t>
            </w:r>
          </w:p>
          <w:p w:rsidR="00801DC2" w:rsidRDefault="00F2765B">
            <w:pPr>
              <w:spacing w:line="312" w:lineRule="auto"/>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rPr>
              <w:t>硕博连读生：总学分</w:t>
            </w:r>
            <w:r>
              <w:rPr>
                <w:rFonts w:ascii="Times New Roman" w:eastAsia="仿宋_GB2312" w:hAnsi="Times New Roman" w:cs="Times New Roman"/>
                <w:color w:val="000000"/>
                <w:kern w:val="0"/>
                <w:sz w:val="24"/>
                <w:szCs w:val="24"/>
              </w:rPr>
              <w:t>4</w:t>
            </w:r>
            <w:r>
              <w:rPr>
                <w:rFonts w:ascii="Times New Roman" w:eastAsia="仿宋_GB2312" w:hAnsi="Times New Roman" w:cs="Times New Roman" w:hint="eastAsia"/>
                <w:color w:val="000000"/>
                <w:kern w:val="0"/>
                <w:sz w:val="24"/>
                <w:szCs w:val="24"/>
              </w:rPr>
              <w:t>3</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color w:val="000000"/>
                <w:kern w:val="0"/>
                <w:sz w:val="24"/>
                <w:szCs w:val="24"/>
              </w:rPr>
              <w:t>3</w:t>
            </w:r>
            <w:r>
              <w:rPr>
                <w:rFonts w:ascii="Times New Roman" w:eastAsia="仿宋_GB2312" w:hAnsi="Times New Roman" w:cs="Times New Roman" w:hint="eastAsia"/>
                <w:color w:val="000000"/>
                <w:kern w:val="0"/>
                <w:sz w:val="24"/>
                <w:szCs w:val="24"/>
              </w:rPr>
              <w:t>8</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学分。</w:t>
            </w:r>
          </w:p>
        </w:tc>
      </w:tr>
      <w:tr w:rsidR="00801DC2">
        <w:trPr>
          <w:trHeight w:val="3430"/>
        </w:trPr>
        <w:tc>
          <w:tcPr>
            <w:tcW w:w="1574" w:type="dxa"/>
            <w:gridSpan w:val="2"/>
            <w:tcBorders>
              <w:top w:val="single" w:sz="4" w:space="0" w:color="000000"/>
              <w:left w:val="single" w:sz="4" w:space="0" w:color="000000"/>
              <w:right w:val="single" w:sz="4" w:space="0" w:color="000000"/>
            </w:tcBorders>
            <w:shd w:val="clear" w:color="auto" w:fill="auto"/>
            <w:vAlign w:val="center"/>
          </w:tcPr>
          <w:p w:rsidR="00801DC2" w:rsidRDefault="00F2765B">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培养目标</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sz w:val="24"/>
                <w:szCs w:val="24"/>
              </w:rPr>
              <w:t>1</w:t>
            </w:r>
            <w:r>
              <w:rPr>
                <w:rFonts w:ascii="Times New Roman" w:eastAsia="仿宋_GB2312" w:hAnsi="Times New Roman" w:cs="Times New Roman"/>
                <w:color w:val="000000"/>
                <w:kern w:val="0"/>
                <w:sz w:val="24"/>
                <w:szCs w:val="24"/>
                <w:lang w:bidi="ar"/>
              </w:rPr>
              <w:t xml:space="preserve">. </w:t>
            </w:r>
            <w:r>
              <w:rPr>
                <w:rFonts w:ascii="Times New Roman" w:eastAsia="仿宋_GB2312" w:hAnsi="Times New Roman" w:cs="Times New Roman"/>
                <w:color w:val="000000"/>
                <w:kern w:val="0"/>
                <w:sz w:val="24"/>
                <w:szCs w:val="24"/>
                <w:lang w:bidi="ar"/>
              </w:rPr>
              <w:t>坚持育人为本，需求导向，以研究生德智体美劳全面发展为中心。培养在化学领域或跨学科领域内，具备优秀竞争能力的专门人才和教育管理者；</w:t>
            </w:r>
          </w:p>
          <w:p w:rsidR="00801DC2" w:rsidRDefault="00F2765B">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 xml:space="preserve">2. </w:t>
            </w:r>
            <w:r>
              <w:rPr>
                <w:rFonts w:ascii="Times New Roman" w:eastAsia="仿宋_GB2312" w:hAnsi="Times New Roman" w:cs="Times New Roman"/>
                <w:color w:val="000000"/>
                <w:kern w:val="0"/>
                <w:sz w:val="24"/>
                <w:szCs w:val="24"/>
                <w:lang w:bidi="ar"/>
              </w:rPr>
              <w:t>具有坚定的理想信念、高尚的道德情操，具有严守学术规范的意识、高度的社会责任感和敬业精神；</w:t>
            </w:r>
          </w:p>
          <w:p w:rsidR="00801DC2" w:rsidRDefault="00F2765B">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3.</w:t>
            </w:r>
            <w:r>
              <w:rPr>
                <w:rFonts w:ascii="Times New Roman" w:eastAsia="仿宋_GB2312" w:hAnsi="Times New Roman" w:cs="Times New Roman"/>
                <w:color w:val="000000"/>
                <w:kern w:val="0"/>
                <w:sz w:val="24"/>
                <w:szCs w:val="24"/>
                <w:lang w:bidi="ar"/>
              </w:rPr>
              <w:t>具有深厚的化学专业基础和创新能力，具备国际视野和跨越学科意识；</w:t>
            </w:r>
          </w:p>
          <w:p w:rsidR="00801DC2" w:rsidRDefault="00F2765B">
            <w:pPr>
              <w:pStyle w:val="a7"/>
              <w:spacing w:before="0" w:beforeAutospacing="0" w:after="0" w:afterAutospacing="0" w:line="360" w:lineRule="auto"/>
              <w:jc w:val="both"/>
              <w:rPr>
                <w:rFonts w:ascii="Times New Roman" w:eastAsia="仿宋_GB2312" w:hAnsi="Times New Roman" w:cs="Times New Roman"/>
              </w:rPr>
            </w:pPr>
            <w:r>
              <w:rPr>
                <w:rFonts w:ascii="Times New Roman" w:eastAsia="仿宋_GB2312" w:hAnsi="Times New Roman" w:cs="Times New Roman"/>
                <w:color w:val="000000"/>
                <w:lang w:bidi="ar"/>
              </w:rPr>
              <w:t xml:space="preserve">4. </w:t>
            </w:r>
            <w:r>
              <w:rPr>
                <w:rFonts w:ascii="Times New Roman" w:eastAsia="仿宋_GB2312" w:hAnsi="Times New Roman" w:cs="Times New Roman"/>
              </w:rPr>
              <w:t>具有独立的和创造性的进行化学学科科学研究工作的能力及较强的解决实际问题的能力。</w:t>
            </w:r>
          </w:p>
        </w:tc>
      </w:tr>
      <w:tr w:rsidR="00801DC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课程设置</w:t>
            </w:r>
          </w:p>
        </w:tc>
      </w:tr>
      <w:tr w:rsidR="00801DC2">
        <w:trPr>
          <w:trHeight w:val="624"/>
        </w:trPr>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课程类别</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课程编号</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课程名称</w:t>
            </w:r>
            <w:r>
              <w:rPr>
                <w:rFonts w:ascii="Times New Roman" w:eastAsia="仿宋_GB2312" w:hAnsi="Times New Roman" w:cs="Times New Roman"/>
                <w:color w:val="000000"/>
                <w:kern w:val="0"/>
                <w:sz w:val="24"/>
                <w:szCs w:val="24"/>
                <w:lang w:bidi="ar"/>
              </w:rPr>
              <w:br/>
            </w:r>
            <w:r>
              <w:rPr>
                <w:rFonts w:ascii="Times New Roman" w:eastAsia="仿宋_GB2312" w:hAnsi="Times New Roman" w:cs="Times New Roman"/>
                <w:color w:val="000000"/>
                <w:kern w:val="0"/>
                <w:sz w:val="24"/>
                <w:szCs w:val="24"/>
                <w:lang w:bidi="ar"/>
              </w:rPr>
              <w:t>（中英文）</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课时</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开课学期</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任课教师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w:t>
            </w:r>
          </w:p>
        </w:tc>
      </w:tr>
      <w:tr w:rsidR="00801DC2">
        <w:trPr>
          <w:trHeight w:val="624"/>
        </w:trPr>
        <w:tc>
          <w:tcPr>
            <w:tcW w:w="14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lang w:bidi="ar"/>
              </w:rPr>
              <w:t>公共必修课：</w:t>
            </w:r>
            <w:r>
              <w:rPr>
                <w:rStyle w:val="font41"/>
                <w:rFonts w:ascii="Times New Roman" w:eastAsia="仿宋_GB2312" w:hAnsi="Times New Roman" w:cs="Times New Roman" w:hint="default"/>
                <w:sz w:val="24"/>
                <w:szCs w:val="24"/>
                <w:lang w:bidi="ar"/>
              </w:rPr>
              <w:br/>
            </w:r>
            <w:r>
              <w:rPr>
                <w:rStyle w:val="font11"/>
                <w:rFonts w:ascii="Times New Roman" w:eastAsia="仿宋_GB2312" w:hAnsi="Times New Roman" w:cs="Times New Roman" w:hint="default"/>
                <w:sz w:val="24"/>
                <w:szCs w:val="24"/>
                <w:lang w:bidi="ar"/>
              </w:rPr>
              <w:t xml:space="preserve"> 6 </w:t>
            </w:r>
            <w:r>
              <w:rPr>
                <w:rStyle w:val="font41"/>
                <w:rFonts w:ascii="Times New Roman" w:eastAsia="仿宋_GB2312" w:hAnsi="Times New Roman" w:cs="Times New Roman" w:hint="default"/>
                <w:sz w:val="24"/>
                <w:szCs w:val="24"/>
                <w:lang w:bidi="ar"/>
              </w:rPr>
              <w:t>学分</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政治理论</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r>
      <w:tr w:rsidR="00801DC2">
        <w:trPr>
          <w:trHeight w:val="624"/>
        </w:trPr>
        <w:tc>
          <w:tcPr>
            <w:tcW w:w="14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外国语</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符合相关规定可申请免修</w:t>
            </w:r>
          </w:p>
        </w:tc>
      </w:tr>
      <w:tr w:rsidR="00801DC2">
        <w:trPr>
          <w:trHeight w:val="393"/>
        </w:trPr>
        <w:tc>
          <w:tcPr>
            <w:tcW w:w="1431" w:type="dxa"/>
            <w:tcBorders>
              <w:top w:val="single" w:sz="4" w:space="0" w:color="000000"/>
              <w:left w:val="single" w:sz="4" w:space="0" w:color="000000"/>
              <w:right w:val="single" w:sz="4" w:space="0" w:color="000000"/>
            </w:tcBorders>
            <w:shd w:val="clear" w:color="auto" w:fill="auto"/>
            <w:vAlign w:val="center"/>
          </w:tcPr>
          <w:p w:rsidR="00801DC2" w:rsidRDefault="00F2765B">
            <w:pPr>
              <w:jc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t>公共选修课：</w:t>
            </w:r>
          </w:p>
          <w:p w:rsidR="00801DC2" w:rsidRDefault="00F2765B">
            <w:pPr>
              <w:jc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u w:val="single"/>
                <w:lang w:bidi="ar"/>
              </w:rPr>
              <w:t xml:space="preserve"> 2 </w:t>
            </w:r>
            <w:r>
              <w:rPr>
                <w:rStyle w:val="font41"/>
                <w:rFonts w:ascii="Times New Roman" w:eastAsia="仿宋_GB2312" w:hAnsi="Times New Roman" w:cs="Times New Roman" w:hint="default"/>
                <w:sz w:val="24"/>
                <w:szCs w:val="24"/>
                <w:lang w:bidi="ar"/>
              </w:rPr>
              <w:t>学分</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硕博连读生硕士阶段已获得学分，可不修</w:t>
            </w:r>
          </w:p>
        </w:tc>
      </w:tr>
      <w:tr w:rsidR="00801DC2">
        <w:trPr>
          <w:trHeight w:val="624"/>
        </w:trPr>
        <w:tc>
          <w:tcPr>
            <w:tcW w:w="1431" w:type="dxa"/>
            <w:vMerge w:val="restart"/>
            <w:tcBorders>
              <w:top w:val="single" w:sz="4" w:space="0" w:color="000000"/>
              <w:left w:val="single" w:sz="4" w:space="0" w:color="000000"/>
              <w:right w:val="single" w:sz="4" w:space="0" w:color="000000"/>
            </w:tcBorders>
            <w:shd w:val="clear" w:color="auto" w:fill="auto"/>
            <w:vAlign w:val="center"/>
          </w:tcPr>
          <w:p w:rsidR="00801DC2" w:rsidRDefault="00F2765B">
            <w:pPr>
              <w:widowControl/>
              <w:jc w:val="center"/>
              <w:textAlignment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lastRenderedPageBreak/>
              <w:t>专业必修课：</w:t>
            </w:r>
            <w:r>
              <w:rPr>
                <w:rStyle w:val="font41"/>
                <w:rFonts w:ascii="Times New Roman" w:eastAsia="仿宋_GB2312" w:hAnsi="Times New Roman" w:cs="Times New Roman" w:hint="default"/>
                <w:sz w:val="24"/>
                <w:szCs w:val="24"/>
                <w:lang w:bidi="ar"/>
              </w:rPr>
              <w:br/>
              <w:t>≥</w:t>
            </w:r>
            <w:r>
              <w:rPr>
                <w:rStyle w:val="font11"/>
                <w:rFonts w:ascii="Times New Roman" w:eastAsia="仿宋_GB2312" w:hAnsi="Times New Roman" w:cs="Times New Roman" w:hint="default"/>
                <w:sz w:val="24"/>
                <w:szCs w:val="24"/>
                <w:lang w:bidi="ar"/>
              </w:rPr>
              <w:t xml:space="preserve">6 </w:t>
            </w:r>
            <w:r>
              <w:rPr>
                <w:rStyle w:val="font41"/>
                <w:rFonts w:ascii="Times New Roman" w:eastAsia="仿宋_GB2312" w:hAnsi="Times New Roman" w:cs="Times New Roman" w:hint="default"/>
                <w:sz w:val="24"/>
                <w:szCs w:val="24"/>
                <w:lang w:bidi="ar"/>
              </w:rPr>
              <w:t>学分</w:t>
            </w:r>
          </w:p>
          <w:p w:rsidR="00801DC2" w:rsidRDefault="00801DC2">
            <w:pPr>
              <w:widowControl/>
              <w:jc w:val="center"/>
              <w:textAlignment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Pr="006645C4" w:rsidRDefault="00F2765B" w:rsidP="0003592B">
            <w:pPr>
              <w:jc w:val="center"/>
              <w:rPr>
                <w:rFonts w:ascii="Times New Roman" w:eastAsia="仿宋_GB2312" w:hAnsi="Times New Roman" w:cs="Times New Roman"/>
                <w:color w:val="000000"/>
                <w:sz w:val="24"/>
                <w:szCs w:val="24"/>
              </w:rPr>
            </w:pPr>
            <w:r w:rsidRPr="006645C4">
              <w:rPr>
                <w:rFonts w:ascii="Calibri" w:hAnsi="Calibri" w:cs="Calibri"/>
                <w:color w:val="000000"/>
                <w:sz w:val="22"/>
              </w:rPr>
              <w:t>016B210</w:t>
            </w:r>
            <w:r w:rsidR="0003592B" w:rsidRPr="006645C4">
              <w:rPr>
                <w:rFonts w:ascii="Calibri" w:hAnsi="Calibri" w:cs="Calibri" w:hint="eastAsia"/>
                <w:color w:val="000000"/>
                <w:sz w:val="22"/>
              </w:rPr>
              <w:t>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科技论文写作</w:t>
            </w:r>
          </w:p>
          <w:p w:rsidR="00801DC2" w:rsidRDefault="00F2765B">
            <w:pP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w:t>
            </w:r>
            <w:r>
              <w:rPr>
                <w:rFonts w:ascii="Times New Roman" w:eastAsia="仿宋_GB2312" w:hAnsi="Times New Roman" w:cs="Times New Roman"/>
                <w:color w:val="000000"/>
                <w:sz w:val="24"/>
                <w:szCs w:val="24"/>
              </w:rPr>
              <w:t>Scientific Paper Writing</w:t>
            </w:r>
            <w:r>
              <w:rPr>
                <w:rFonts w:ascii="Times New Roman" w:eastAsia="仿宋_GB2312" w:hAnsi="Times New Roman" w:cs="Times New Roman"/>
                <w:color w:val="000000"/>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金</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color w:val="000000"/>
                <w:sz w:val="24"/>
                <w:szCs w:val="24"/>
              </w:rPr>
              <w:t>燕</w:t>
            </w:r>
          </w:p>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丁立平</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英文授课</w:t>
            </w: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Pr="006645C4" w:rsidRDefault="00F2765B" w:rsidP="0003592B">
            <w:pPr>
              <w:jc w:val="center"/>
              <w:rPr>
                <w:rFonts w:ascii="Times New Roman" w:eastAsia="仿宋_GB2312" w:hAnsi="Times New Roman" w:cs="Times New Roman"/>
                <w:sz w:val="24"/>
                <w:szCs w:val="24"/>
              </w:rPr>
            </w:pPr>
            <w:r w:rsidRPr="006645C4">
              <w:rPr>
                <w:rFonts w:ascii="Calibri" w:hAnsi="Calibri" w:cs="Calibri"/>
                <w:color w:val="000000"/>
                <w:sz w:val="22"/>
              </w:rPr>
              <w:t>016B210</w:t>
            </w:r>
            <w:r w:rsidR="0003592B" w:rsidRPr="006645C4">
              <w:rPr>
                <w:rFonts w:ascii="Calibri" w:hAnsi="Calibri" w:cs="Calibri" w:hint="eastAsia"/>
                <w:color w:val="000000"/>
                <w:sz w:val="22"/>
              </w:rPr>
              <w:t>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现代化学研究方法</w:t>
            </w:r>
          </w:p>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(Advanced Chemical Research Technologies</w:t>
            </w:r>
            <w:r>
              <w:rPr>
                <w:rFonts w:ascii="Times New Roman" w:eastAsia="仿宋_GB2312" w:hAnsi="Times New Roman" w:cs="Times New Roman"/>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75D" w:rsidRDefault="00C3775D" w:rsidP="00C3775D">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刘成辉</w:t>
            </w:r>
          </w:p>
          <w:p w:rsidR="00801DC2" w:rsidRDefault="00F2765B">
            <w:pPr>
              <w:jc w:val="center"/>
              <w:rPr>
                <w:rFonts w:ascii="Times New Roman" w:eastAsia="仿宋_GB2312" w:hAnsi="Times New Roman" w:cs="Times New Roman"/>
                <w:sz w:val="24"/>
                <w:szCs w:val="24"/>
              </w:rPr>
            </w:pPr>
            <w:proofErr w:type="gramStart"/>
            <w:r>
              <w:rPr>
                <w:rFonts w:ascii="Times New Roman" w:eastAsia="仿宋_GB2312" w:hAnsi="Times New Roman" w:cs="Times New Roman"/>
                <w:sz w:val="24"/>
                <w:szCs w:val="24"/>
              </w:rPr>
              <w:t>翟</w:t>
            </w:r>
            <w:proofErr w:type="gramEnd"/>
            <w:r>
              <w:rPr>
                <w:rFonts w:ascii="Times New Roman" w:eastAsia="仿宋_GB2312" w:hAnsi="Times New Roman" w:cs="Times New Roman"/>
                <w:sz w:val="24"/>
                <w:szCs w:val="24"/>
              </w:rPr>
              <w:t>全国</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赵玉明</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郑浩铨</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016B2101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化学学科前沿讲座</w:t>
            </w:r>
          </w:p>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(Lectures on Frontiers in Chemistry</w:t>
            </w:r>
            <w:r>
              <w:rPr>
                <w:rFonts w:ascii="Times New Roman" w:eastAsia="仿宋_GB2312" w:hAnsi="Times New Roman" w:cs="Times New Roman"/>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刘峰毅</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漆红兰</w:t>
            </w:r>
          </w:p>
          <w:p w:rsidR="00801DC2" w:rsidRDefault="00F2765B">
            <w:pPr>
              <w:jc w:val="center"/>
              <w:rPr>
                <w:rFonts w:ascii="Times New Roman" w:eastAsia="仿宋_GB2312" w:hAnsi="Times New Roman" w:cs="Times New Roman"/>
                <w:sz w:val="24"/>
                <w:szCs w:val="24"/>
              </w:rPr>
            </w:pPr>
            <w:proofErr w:type="gramStart"/>
            <w:r>
              <w:rPr>
                <w:rFonts w:ascii="Times New Roman" w:eastAsia="仿宋_GB2312" w:hAnsi="Times New Roman" w:cs="Times New Roman"/>
                <w:sz w:val="24"/>
                <w:szCs w:val="24"/>
              </w:rPr>
              <w:t>翟</w:t>
            </w:r>
            <w:proofErr w:type="gramEnd"/>
            <w:r>
              <w:rPr>
                <w:rFonts w:ascii="Times New Roman" w:eastAsia="仿宋_GB2312" w:hAnsi="Times New Roman" w:cs="Times New Roman"/>
                <w:sz w:val="24"/>
                <w:szCs w:val="24"/>
              </w:rPr>
              <w:t>全国</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等</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英文授课</w:t>
            </w:r>
          </w:p>
        </w:tc>
      </w:tr>
      <w:tr w:rsidR="00801DC2">
        <w:trPr>
          <w:trHeight w:val="814"/>
        </w:trPr>
        <w:tc>
          <w:tcPr>
            <w:tcW w:w="1431" w:type="dxa"/>
            <w:vMerge w:val="restart"/>
            <w:tcBorders>
              <w:top w:val="single" w:sz="4" w:space="0" w:color="000000"/>
              <w:left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专业选修课：</w:t>
            </w:r>
            <w:r>
              <w:rPr>
                <w:rFonts w:ascii="Times New Roman" w:eastAsia="仿宋_GB2312" w:hAnsi="Times New Roman" w:cs="Times New Roman"/>
                <w:color w:val="000000"/>
                <w:kern w:val="0"/>
                <w:sz w:val="24"/>
                <w:szCs w:val="24"/>
                <w:lang w:bidi="ar"/>
              </w:rPr>
              <w:br/>
              <w:t>≥</w:t>
            </w:r>
            <w:r>
              <w:rPr>
                <w:rStyle w:val="font11"/>
                <w:rFonts w:ascii="Times New Roman" w:eastAsia="仿宋_GB2312" w:hAnsi="Times New Roman" w:cs="Times New Roman" w:hint="default"/>
                <w:sz w:val="24"/>
                <w:szCs w:val="24"/>
                <w:lang w:bidi="ar"/>
              </w:rPr>
              <w:t xml:space="preserve"> 5 </w:t>
            </w:r>
            <w:bookmarkStart w:id="1" w:name="_GoBack"/>
            <w:bookmarkEnd w:id="1"/>
            <w:r>
              <w:rPr>
                <w:rFonts w:ascii="Times New Roman" w:eastAsia="仿宋_GB2312" w:hAnsi="Times New Roman" w:cs="Times New Roman"/>
                <w:color w:val="000000"/>
                <w:kern w:val="0"/>
                <w:sz w:val="24"/>
                <w:szCs w:val="24"/>
                <w:lang w:bidi="ar"/>
              </w:rPr>
              <w:t>学分</w:t>
            </w: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Calibri" w:hAnsi="Calibri" w:cs="Calibri" w:hint="eastAsia"/>
                <w:color w:val="000000"/>
                <w:sz w:val="22"/>
              </w:rPr>
              <w:t>T</w:t>
            </w:r>
            <w:r>
              <w:rPr>
                <w:rFonts w:ascii="Calibri" w:hAnsi="Calibri" w:cs="Calibri"/>
                <w:color w:val="000000"/>
                <w:sz w:val="22"/>
              </w:rPr>
              <w:t>16B320</w:t>
            </w:r>
            <w:r>
              <w:rPr>
                <w:rFonts w:ascii="Calibri" w:hAnsi="Calibri" w:cs="Calibri" w:hint="eastAsia"/>
                <w:color w:val="000000"/>
                <w:sz w:val="22"/>
              </w:rPr>
              <w:t>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体育类课程</w:t>
            </w:r>
          </w:p>
          <w:p w:rsidR="00801DC2" w:rsidRDefault="00F2765B">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(PE Course)</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18</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1-3</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437" w:type="dxa"/>
            <w:vMerge w:val="restart"/>
            <w:tcBorders>
              <w:top w:val="single" w:sz="4" w:space="0" w:color="000000"/>
              <w:left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全体必选课；硕博连读生硕士阶段已获得学分，可免修</w:t>
            </w:r>
          </w:p>
        </w:tc>
      </w:tr>
      <w:tr w:rsidR="00801DC2">
        <w:trPr>
          <w:trHeight w:val="812"/>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公共艺术类课程</w:t>
            </w:r>
          </w:p>
          <w:p w:rsidR="00801DC2" w:rsidRDefault="00F2765B">
            <w:pPr>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(Public Art)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437" w:type="dxa"/>
            <w:vMerge/>
            <w:tcBorders>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r>
      <w:tr w:rsidR="00801DC2">
        <w:trPr>
          <w:trHeight w:val="970"/>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Calibri" w:hAnsi="Calibri" w:cs="Calibri"/>
                <w:color w:val="000000"/>
                <w:sz w:val="22"/>
              </w:rPr>
              <w:t>016L3201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合成化学</w:t>
            </w:r>
          </w:p>
          <w:p w:rsidR="00801DC2" w:rsidRDefault="00F2765B">
            <w:pPr>
              <w:spacing w:line="300" w:lineRule="exact"/>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w:t>
            </w:r>
            <w:r>
              <w:rPr>
                <w:rFonts w:ascii="Times New Roman" w:eastAsia="仿宋_GB2312" w:hAnsi="Times New Roman" w:cs="Times New Roman"/>
                <w:color w:val="000000"/>
                <w:sz w:val="24"/>
                <w:szCs w:val="24"/>
              </w:rPr>
              <w:t>Synthesis Chemistry</w:t>
            </w:r>
            <w:r>
              <w:rPr>
                <w:rFonts w:ascii="Times New Roman" w:eastAsia="仿宋_GB2312" w:hAnsi="Times New Roman" w:cs="Times New Roman"/>
                <w:color w:val="000000"/>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张伟强</w:t>
            </w:r>
          </w:p>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黄治炎</w:t>
            </w:r>
          </w:p>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何晓明</w:t>
            </w:r>
          </w:p>
        </w:tc>
        <w:tc>
          <w:tcPr>
            <w:tcW w:w="1437" w:type="dxa"/>
            <w:tcBorders>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英文授课</w:t>
            </w:r>
          </w:p>
        </w:tc>
      </w:tr>
      <w:tr w:rsidR="00801DC2">
        <w:trPr>
          <w:trHeight w:val="970"/>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Calibri" w:hAnsi="Calibri" w:cs="Calibri"/>
                <w:color w:val="000000"/>
                <w:sz w:val="22"/>
              </w:rPr>
              <w:t>016L3202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理论化学与分子模拟（</w:t>
            </w:r>
            <w:r>
              <w:rPr>
                <w:rFonts w:ascii="Times New Roman" w:eastAsia="仿宋_GB2312" w:hAnsi="Times New Roman" w:cs="Times New Roman"/>
                <w:color w:val="000000"/>
                <w:sz w:val="24"/>
                <w:szCs w:val="24"/>
              </w:rPr>
              <w:t>Theoretical Chemistry and Molecular Simulation</w:t>
            </w:r>
            <w:r>
              <w:rPr>
                <w:rFonts w:ascii="Times New Roman" w:eastAsia="仿宋_GB2312" w:hAnsi="Times New Roman" w:cs="Times New Roman"/>
                <w:color w:val="000000"/>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proofErr w:type="gramStart"/>
            <w:r>
              <w:rPr>
                <w:rFonts w:ascii="Times New Roman" w:eastAsia="仿宋_GB2312" w:hAnsi="Times New Roman" w:cs="Times New Roman"/>
                <w:color w:val="000000"/>
                <w:sz w:val="24"/>
                <w:szCs w:val="24"/>
              </w:rPr>
              <w:t>党静霜</w:t>
            </w:r>
            <w:proofErr w:type="gramEnd"/>
          </w:p>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王长崴</w:t>
            </w:r>
          </w:p>
        </w:tc>
        <w:tc>
          <w:tcPr>
            <w:tcW w:w="1437" w:type="dxa"/>
            <w:tcBorders>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英文授课</w:t>
            </w: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016B3201</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无机化学进展</w:t>
            </w:r>
          </w:p>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(Progress in Inorganic Chemistry)</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kern w:val="0"/>
                <w:sz w:val="24"/>
                <w:szCs w:val="24"/>
                <w:fitText w:val="960" w:id="-177286758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有机化学进展</w:t>
            </w:r>
          </w:p>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(Progress in Organic Chemistry)</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hAnsi="Times New Roman" w:cs="Times New Roman"/>
              </w:rPr>
            </w:pPr>
            <w:r>
              <w:rPr>
                <w:rFonts w:ascii="Times New Roman" w:eastAsia="仿宋_GB2312" w:hAnsi="Times New Roman" w:cs="Times New Roman"/>
                <w:sz w:val="24"/>
                <w:szCs w:val="2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分析化学进展</w:t>
            </w:r>
          </w:p>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(Progress in Analytical Chemistry)</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hAnsi="Times New Roman" w:cs="Times New Roman"/>
              </w:rPr>
            </w:pPr>
            <w:r>
              <w:rPr>
                <w:rFonts w:ascii="Times New Roman" w:eastAsia="仿宋_GB2312" w:hAnsi="Times New Roman" w:cs="Times New Roman"/>
                <w:sz w:val="24"/>
                <w:szCs w:val="2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物理化学进展</w:t>
            </w:r>
          </w:p>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(Progress in Physical Chemistry)</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hAnsi="Times New Roman" w:cs="Times New Roman"/>
              </w:rPr>
            </w:pPr>
            <w:r>
              <w:rPr>
                <w:rFonts w:ascii="Times New Roman" w:eastAsia="仿宋_GB2312" w:hAnsi="Times New Roman" w:cs="Times New Roman"/>
                <w:sz w:val="24"/>
                <w:szCs w:val="2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高分子化学进展</w:t>
            </w:r>
          </w:p>
          <w:p w:rsidR="00801DC2" w:rsidRDefault="00F2765B">
            <w:pPr>
              <w:spacing w:line="30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(Progress in Polymer Chemistry)</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hAnsi="Times New Roman" w:cs="Times New Roman"/>
              </w:rPr>
            </w:pPr>
            <w:r>
              <w:rPr>
                <w:rFonts w:ascii="Times New Roman" w:eastAsia="仿宋_GB2312" w:hAnsi="Times New Roman" w:cs="Times New Roman"/>
                <w:sz w:val="24"/>
                <w:szCs w:val="2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624"/>
        </w:trPr>
        <w:tc>
          <w:tcPr>
            <w:tcW w:w="1431" w:type="dxa"/>
            <w:vMerge/>
            <w:tcBorders>
              <w:left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10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Calibri" w:hAnsi="Calibri" w:cs="Calibri"/>
                <w:color w:val="000000"/>
                <w:sz w:val="22"/>
              </w:rPr>
              <w:t>016B3206</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化学生物学进展</w:t>
            </w:r>
          </w:p>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(Progress in </w:t>
            </w:r>
            <w:proofErr w:type="spellStart"/>
            <w:r>
              <w:rPr>
                <w:rFonts w:ascii="Times New Roman" w:eastAsia="仿宋_GB2312" w:hAnsi="Times New Roman" w:cs="Times New Roman"/>
                <w:sz w:val="24"/>
                <w:szCs w:val="24"/>
              </w:rPr>
              <w:t>Chemicobiology</w:t>
            </w:r>
            <w:proofErr w:type="spellEnd"/>
            <w:r>
              <w:rPr>
                <w:rFonts w:ascii="Times New Roman" w:eastAsia="仿宋_GB2312" w:hAnsi="Times New Roman" w:cs="Times New Roman"/>
                <w:sz w:val="24"/>
                <w:szCs w:val="24"/>
              </w:rPr>
              <w:t>)</w:t>
            </w:r>
          </w:p>
        </w:tc>
        <w:tc>
          <w:tcPr>
            <w:tcW w:w="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2</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hAnsi="Times New Roman" w:cs="Times New Roman"/>
              </w:rPr>
            </w:pPr>
            <w:r>
              <w:rPr>
                <w:rFonts w:ascii="Times New Roman" w:eastAsia="仿宋_GB2312" w:hAnsi="Times New Roman" w:cs="Times New Roman"/>
                <w:sz w:val="24"/>
                <w:szCs w:val="24"/>
              </w:rPr>
              <w:t>指导教师</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rPr>
                <w:rFonts w:ascii="Times New Roman" w:eastAsia="仿宋_GB2312" w:hAnsi="Times New Roman" w:cs="Times New Roman"/>
                <w:color w:val="000000"/>
                <w:sz w:val="24"/>
                <w:szCs w:val="24"/>
              </w:rPr>
            </w:pPr>
          </w:p>
        </w:tc>
      </w:tr>
      <w:tr w:rsidR="00801DC2">
        <w:trPr>
          <w:trHeight w:val="1085"/>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spacing w:line="312" w:lineRule="auto"/>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sz w:val="24"/>
                <w:szCs w:val="24"/>
              </w:rPr>
              <w:t>备注：</w:t>
            </w:r>
            <w:r>
              <w:rPr>
                <w:rFonts w:ascii="Times New Roman" w:eastAsia="仿宋_GB2312" w:hAnsi="Times New Roman" w:cs="Times New Roman"/>
                <w:color w:val="000000"/>
                <w:sz w:val="24"/>
                <w:szCs w:val="24"/>
              </w:rPr>
              <w:t>体育类课程，按照《化学化工学院关于加强研究生身体素质能力提升的规定》执行；美育课程，在学校开设的公选课中选择公共艺术类课程。</w:t>
            </w:r>
          </w:p>
        </w:tc>
      </w:tr>
      <w:tr w:rsidR="00801DC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b/>
                <w:color w:val="000000"/>
                <w:kern w:val="0"/>
                <w:sz w:val="24"/>
                <w:szCs w:val="24"/>
                <w:lang w:bidi="ar"/>
              </w:rPr>
            </w:pPr>
            <w:r>
              <w:rPr>
                <w:rFonts w:ascii="Times New Roman" w:eastAsia="仿宋_GB2312" w:hAnsi="Times New Roman" w:cs="Times New Roman"/>
                <w:b/>
                <w:color w:val="000000"/>
                <w:kern w:val="0"/>
                <w:sz w:val="24"/>
                <w:szCs w:val="24"/>
                <w:lang w:bidi="ar"/>
              </w:rPr>
              <w:t>其他培养环节及要求</w:t>
            </w:r>
          </w:p>
        </w:tc>
      </w:tr>
      <w:tr w:rsidR="00801DC2">
        <w:trPr>
          <w:trHeight w:val="62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内容或要求</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考核时间及方式</w:t>
            </w:r>
          </w:p>
        </w:tc>
      </w:tr>
      <w:tr w:rsidR="00801DC2">
        <w:trPr>
          <w:trHeight w:val="2909"/>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博士研究生在学期间须参加学校或学院组织的学术报告活动不少于</w:t>
            </w:r>
            <w:r>
              <w:rPr>
                <w:rFonts w:ascii="Times New Roman" w:eastAsia="仿宋_GB2312" w:hAnsi="Times New Roman" w:cs="Times New Roman"/>
                <w:sz w:val="24"/>
                <w:szCs w:val="24"/>
              </w:rPr>
              <w:t>15</w:t>
            </w:r>
            <w:r>
              <w:rPr>
                <w:rFonts w:ascii="Times New Roman" w:eastAsia="仿宋_GB2312" w:hAnsi="Times New Roman" w:cs="Times New Roman"/>
                <w:sz w:val="24"/>
                <w:szCs w:val="24"/>
              </w:rPr>
              <w:t>次（其中第一学年参加学术报告活动不少于</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次）；参加至少</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次国际或国内学术会议；在本学科范围内作学术演讲至少</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次。具体管理办法详见《陕西师范大学化学化工学院研究生学术活动规定》</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sz w:val="24"/>
                <w:szCs w:val="24"/>
              </w:rPr>
              <w:t>硕博连读生参加硕士、博士阶段学术交流，合计</w:t>
            </w:r>
            <w:r>
              <w:rPr>
                <w:rFonts w:ascii="Times New Roman" w:eastAsia="仿宋_GB2312" w:hAnsi="Times New Roman" w:cs="Times New Roman"/>
                <w:color w:val="000000"/>
                <w:sz w:val="24"/>
                <w:szCs w:val="24"/>
              </w:rPr>
              <w:t>2</w:t>
            </w:r>
            <w:r>
              <w:rPr>
                <w:rFonts w:ascii="Times New Roman" w:eastAsia="仿宋_GB2312" w:hAnsi="Times New Roman" w:cs="Times New Roman"/>
                <w:color w:val="000000"/>
                <w:sz w:val="24"/>
                <w:szCs w:val="24"/>
              </w:rPr>
              <w:t>学分。</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第一至四学期进行；此环节为必修环节；考核合格后计</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学分</w:t>
            </w:r>
          </w:p>
        </w:tc>
      </w:tr>
      <w:tr w:rsidR="00801DC2">
        <w:trPr>
          <w:trHeight w:val="1661"/>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pStyle w:val="p0"/>
              <w:jc w:val="left"/>
              <w:rPr>
                <w:rFonts w:eastAsia="仿宋_GB2312"/>
              </w:rPr>
            </w:pPr>
            <w:r>
              <w:rPr>
                <w:rFonts w:eastAsia="仿宋_GB2312"/>
                <w:kern w:val="2"/>
                <w:sz w:val="24"/>
                <w:szCs w:val="24"/>
              </w:rPr>
              <w:t>开题报告是研究生学位论文工作的重要环节，是保证学位论文进度和质量的前提。具体内容及要求详见《陕西师范大学化学化工学院关于研究生学位论文开题报告的规定》</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第二学期</w:t>
            </w:r>
            <w:r>
              <w:rPr>
                <w:rFonts w:ascii="Times New Roman" w:eastAsia="仿宋_GB2312" w:hAnsi="Times New Roman" w:cs="Times New Roman"/>
                <w:kern w:val="0"/>
                <w:sz w:val="24"/>
                <w:szCs w:val="24"/>
              </w:rPr>
              <w:t>6~8</w:t>
            </w:r>
            <w:r>
              <w:rPr>
                <w:rFonts w:ascii="Times New Roman" w:eastAsia="仿宋_GB2312" w:hAnsi="Times New Roman" w:cs="Times New Roman"/>
                <w:kern w:val="0"/>
                <w:sz w:val="24"/>
                <w:szCs w:val="24"/>
              </w:rPr>
              <w:t>月进行；此环节为必修环节；开题评审通过计</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学分</w:t>
            </w:r>
          </w:p>
        </w:tc>
      </w:tr>
      <w:tr w:rsidR="00801DC2">
        <w:trPr>
          <w:trHeight w:val="2082"/>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实践环节</w:t>
            </w:r>
          </w:p>
          <w:p w:rsidR="00801DC2" w:rsidRDefault="00F2765B">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（劳育）</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1</w:t>
            </w: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博士研究生参加助研助管助教、勤工俭学、</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三下乡</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、专业特色活动、专业实践、社会实践、创新创业活动、竞赛、各类学术会议志愿者等劳动教育实践活动；</w:t>
            </w:r>
            <w:r>
              <w:rPr>
                <w:rFonts w:ascii="Times New Roman" w:eastAsia="仿宋_GB2312" w:hAnsi="Times New Roman" w:cs="Times New Roman"/>
                <w:color w:val="000000"/>
                <w:sz w:val="24"/>
                <w:szCs w:val="24"/>
              </w:rPr>
              <w:t>硕博连读生参加硕士、博士阶段实践，合计</w:t>
            </w: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学分。</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第一至四学期进行；具体考核办法按照《化学化工学院劳动实践考核办法》实施；提交《研究生实践考核表》，考核通过计</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学分。</w:t>
            </w:r>
          </w:p>
        </w:tc>
      </w:tr>
      <w:tr w:rsidR="00801DC2">
        <w:trPr>
          <w:trHeight w:val="208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博士研究生在进入学位论文开题前，必须参加由学院组织的综合考核。具体管理办法详见《陕西师范大学化学化工学院研究生中期考核相关规定》；</w:t>
            </w:r>
            <w:r>
              <w:rPr>
                <w:rFonts w:ascii="Times New Roman" w:eastAsia="仿宋_GB2312" w:hAnsi="Times New Roman" w:cs="Times New Roman"/>
                <w:color w:val="000000"/>
                <w:sz w:val="24"/>
                <w:szCs w:val="24"/>
              </w:rPr>
              <w:t>硕博连读生参加硕士、博士阶段中期考核，合计</w:t>
            </w: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学分。</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第二学期</w:t>
            </w:r>
            <w:r>
              <w:rPr>
                <w:rFonts w:ascii="Times New Roman" w:eastAsia="仿宋_GB2312" w:hAnsi="Times New Roman" w:cs="Times New Roman"/>
                <w:sz w:val="24"/>
                <w:szCs w:val="24"/>
              </w:rPr>
              <w:t>6-8</w:t>
            </w:r>
            <w:r>
              <w:rPr>
                <w:rFonts w:ascii="Times New Roman" w:eastAsia="仿宋_GB2312" w:hAnsi="Times New Roman" w:cs="Times New Roman"/>
                <w:sz w:val="24"/>
                <w:szCs w:val="24"/>
              </w:rPr>
              <w:t>月进行；此环节为必修环节；考核合格后计</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学分</w:t>
            </w:r>
          </w:p>
        </w:tc>
      </w:tr>
      <w:tr w:rsidR="00801DC2">
        <w:trPr>
          <w:trHeight w:val="2213"/>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预答辩</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801DC2">
            <w:pPr>
              <w:jc w:val="center"/>
              <w:rPr>
                <w:rFonts w:ascii="Times New Roman" w:eastAsia="仿宋_GB2312" w:hAnsi="Times New Roman" w:cs="Times New Roman"/>
                <w:color w:val="000000"/>
                <w:sz w:val="24"/>
                <w:szCs w:val="24"/>
              </w:rPr>
            </w:pPr>
          </w:p>
        </w:tc>
        <w:tc>
          <w:tcPr>
            <w:tcW w:w="41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pStyle w:val="Default"/>
              <w:jc w:val="both"/>
              <w:rPr>
                <w:rFonts w:ascii="Times New Roman" w:eastAsia="仿宋_GB2312" w:hAnsi="Times New Roman" w:cs="Times New Roman"/>
                <w:color w:val="auto"/>
              </w:rPr>
            </w:pPr>
            <w:r>
              <w:rPr>
                <w:rFonts w:ascii="Times New Roman" w:eastAsia="仿宋_GB2312" w:hAnsi="Times New Roman" w:cs="Times New Roman"/>
                <w:color w:val="auto"/>
                <w:kern w:val="2"/>
              </w:rPr>
              <w:t>博士学位论文的预答辩工作是在完成所有预定的论文工作内容和学位论文初稿撰写之后</w:t>
            </w:r>
            <w:r>
              <w:rPr>
                <w:rFonts w:ascii="Times New Roman" w:eastAsia="仿宋_GB2312" w:hAnsi="Times New Roman" w:cs="Times New Roman"/>
                <w:color w:val="auto"/>
                <w:kern w:val="2"/>
              </w:rPr>
              <w:t>,</w:t>
            </w:r>
            <w:r>
              <w:rPr>
                <w:rFonts w:ascii="Times New Roman" w:eastAsia="仿宋_GB2312" w:hAnsi="Times New Roman" w:cs="Times New Roman"/>
                <w:color w:val="auto"/>
                <w:kern w:val="2"/>
              </w:rPr>
              <w:t>在论文正式提交评阅之前进行的审查过程。博士研究生必须组织预答辩，预答辩应于提出学位申请的上一学期内完成。未通过预答辩的，不能进入学位论文送审程序。</w:t>
            </w:r>
          </w:p>
        </w:tc>
        <w:tc>
          <w:tcPr>
            <w:tcW w:w="24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博士：第八学期</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月进行；硕博连读生：转入博士阶段第六学期</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月进行；预审读通过论文方可参加送审。</w:t>
            </w:r>
          </w:p>
        </w:tc>
      </w:tr>
      <w:tr w:rsidR="00801DC2">
        <w:trPr>
          <w:trHeight w:val="62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学位论文</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学位论文答辩申请及答辩要求按学校及学院有关规定执行。</w:t>
            </w:r>
          </w:p>
        </w:tc>
      </w:tr>
      <w:tr w:rsidR="00801DC2">
        <w:trPr>
          <w:trHeight w:val="62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毕业和授予学位标准</w:t>
            </w:r>
          </w:p>
        </w:tc>
        <w:tc>
          <w:tcPr>
            <w:tcW w:w="753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毕业和授予学位标准按学校及学院有关规定执行。</w:t>
            </w:r>
          </w:p>
        </w:tc>
      </w:tr>
      <w:tr w:rsidR="00801DC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本学科主要文献、目录及刊物</w:t>
            </w:r>
          </w:p>
        </w:tc>
      </w:tr>
      <w:tr w:rsidR="00801DC2">
        <w:trPr>
          <w:trHeight w:val="624"/>
        </w:trPr>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序号</w:t>
            </w:r>
          </w:p>
        </w:tc>
        <w:tc>
          <w:tcPr>
            <w:tcW w:w="34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著作或期刊名称</w:t>
            </w: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作者</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考核方式</w:t>
            </w:r>
          </w:p>
        </w:tc>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备注（选读</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中级无机化学（高等教育出版社</w:t>
            </w:r>
            <w:r>
              <w:rPr>
                <w:rFonts w:ascii="Times New Roman" w:eastAsia="仿宋_GB2312" w:hAnsi="Times New Roman" w:cs="Times New Roman"/>
                <w:sz w:val="24"/>
                <w:szCs w:val="24"/>
              </w:rPr>
              <w:t> </w:t>
            </w:r>
            <w:r>
              <w:rPr>
                <w:rFonts w:ascii="Times New Roman" w:eastAsia="仿宋_GB2312" w:hAnsi="Times New Roman" w:cs="Times New Roman"/>
                <w:sz w:val="24"/>
                <w:szCs w:val="24"/>
              </w:rPr>
              <w:t>，第二版）</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 </w:t>
            </w:r>
            <w:r>
              <w:rPr>
                <w:rFonts w:ascii="Times New Roman" w:eastAsia="仿宋_GB2312" w:hAnsi="Times New Roman" w:cs="Times New Roman"/>
                <w:sz w:val="24"/>
                <w:szCs w:val="24"/>
              </w:rPr>
              <w:t>唐宗熏</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无机化学专业必读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高等无机结构化学（北京大学出版社</w:t>
            </w:r>
            <w:r>
              <w:rPr>
                <w:rFonts w:ascii="Times New Roman" w:eastAsia="仿宋_GB2312" w:hAnsi="Times New Roman" w:cs="Times New Roman"/>
                <w:sz w:val="24"/>
                <w:szCs w:val="24"/>
              </w:rPr>
              <w:t> </w:t>
            </w:r>
            <w:r>
              <w:rPr>
                <w:rFonts w:ascii="Times New Roman" w:eastAsia="仿宋_GB2312" w:hAnsi="Times New Roman" w:cs="Times New Roman"/>
                <w:sz w:val="24"/>
                <w:szCs w:val="24"/>
              </w:rPr>
              <w:t>，第二版）</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麦松威等</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无机化学专业必读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Principles of Fluorescence Spectroscopy</w:t>
            </w:r>
            <w:r>
              <w:rPr>
                <w:rFonts w:ascii="Times New Roman" w:eastAsia="仿宋_GB2312" w:hAnsi="Times New Roman" w:cs="Times New Roman"/>
                <w:sz w:val="24"/>
                <w:szCs w:val="24"/>
              </w:rPr>
              <w:t>，</w:t>
            </w:r>
            <w:r>
              <w:rPr>
                <w:rFonts w:ascii="Times New Roman" w:eastAsia="仿宋_GB2312" w:hAnsi="Times New Roman" w:cs="Times New Roman"/>
                <w:sz w:val="24"/>
                <w:szCs w:val="24"/>
              </w:rPr>
              <w:t xml:space="preserve"> Third Edition</w:t>
            </w:r>
            <w:r>
              <w:rPr>
                <w:rFonts w:ascii="Times New Roman" w:eastAsia="仿宋_GB2312" w:hAnsi="Times New Roman" w:cs="Times New Roman"/>
                <w:sz w:val="24"/>
                <w:szCs w:val="24"/>
              </w:rPr>
              <w:t>，</w:t>
            </w:r>
            <w:r>
              <w:rPr>
                <w:rFonts w:ascii="Times New Roman" w:eastAsia="宋体" w:hAnsi="Times New Roman" w:cs="Times New Roman"/>
                <w:sz w:val="24"/>
                <w:szCs w:val="24"/>
              </w:rPr>
              <w:t>©</w:t>
            </w:r>
            <w:r>
              <w:rPr>
                <w:rFonts w:ascii="Times New Roman" w:eastAsia="仿宋_GB2312" w:hAnsi="Times New Roman" w:cs="Times New Roman"/>
                <w:sz w:val="24"/>
                <w:szCs w:val="24"/>
              </w:rPr>
              <w:t xml:space="preserve"> 2006, 1999, 1983 Springer </w:t>
            </w:r>
            <w:proofErr w:type="spellStart"/>
            <w:r>
              <w:rPr>
                <w:rFonts w:ascii="Times New Roman" w:eastAsia="仿宋_GB2312" w:hAnsi="Times New Roman" w:cs="Times New Roman"/>
                <w:sz w:val="24"/>
                <w:szCs w:val="24"/>
              </w:rPr>
              <w:t>Science+Business</w:t>
            </w:r>
            <w:proofErr w:type="spellEnd"/>
            <w:r>
              <w:rPr>
                <w:rFonts w:ascii="Times New Roman" w:eastAsia="仿宋_GB2312" w:hAnsi="Times New Roman" w:cs="Times New Roman"/>
                <w:sz w:val="24"/>
                <w:szCs w:val="24"/>
              </w:rPr>
              <w:t xml:space="preserve"> Media, LLC</w:t>
            </w:r>
            <w:r>
              <w:rPr>
                <w:rFonts w:ascii="Times New Roman" w:eastAsia="仿宋_GB2312" w:hAnsi="Times New Roman" w:cs="Times New Roman"/>
                <w:sz w:val="24"/>
                <w:szCs w:val="24"/>
              </w:rPr>
              <w:t>，</w:t>
            </w:r>
            <w:r>
              <w:rPr>
                <w:rFonts w:ascii="Times New Roman" w:eastAsia="仿宋_GB2312" w:hAnsi="Times New Roman" w:cs="Times New Roman"/>
                <w:sz w:val="24"/>
                <w:szCs w:val="24"/>
              </w:rPr>
              <w:t>ISBN-10:0-387- 31278-1</w:t>
            </w:r>
            <w:r>
              <w:rPr>
                <w:rFonts w:ascii="Times New Roman" w:eastAsia="仿宋_GB2312" w:hAnsi="Times New Roman" w:cs="Times New Roman"/>
                <w:sz w:val="24"/>
                <w:szCs w:val="24"/>
              </w:rPr>
              <w:t>，</w:t>
            </w:r>
            <w:r>
              <w:rPr>
                <w:rFonts w:ascii="Times New Roman" w:eastAsia="仿宋_GB2312" w:hAnsi="Times New Roman" w:cs="Times New Roman"/>
                <w:sz w:val="24"/>
                <w:szCs w:val="24"/>
              </w:rPr>
              <w:t>ISBN-13: 978-0387 -31278-1</w:t>
            </w:r>
            <w:r>
              <w:rPr>
                <w:rFonts w:ascii="Times New Roman" w:eastAsia="仿宋_GB2312" w:hAnsi="Times New Roman" w:cs="Times New Roman"/>
                <w:sz w:val="24"/>
                <w:szCs w:val="24"/>
              </w:rPr>
              <w:t>（学院有</w:t>
            </w:r>
            <w:r>
              <w:rPr>
                <w:rFonts w:ascii="Times New Roman" w:eastAsia="仿宋_GB2312" w:hAnsi="Times New Roman" w:cs="Times New Roman"/>
                <w:sz w:val="24"/>
                <w:szCs w:val="24"/>
              </w:rPr>
              <w:t>PDF</w:t>
            </w:r>
            <w:r>
              <w:rPr>
                <w:rFonts w:ascii="Times New Roman" w:eastAsia="仿宋_GB2312" w:hAnsi="Times New Roman" w:cs="Times New Roman"/>
                <w:sz w:val="24"/>
                <w:szCs w:val="24"/>
              </w:rPr>
              <w:t>版）</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Joseph R. </w:t>
            </w:r>
            <w:proofErr w:type="spellStart"/>
            <w:r>
              <w:rPr>
                <w:rFonts w:ascii="Times New Roman" w:eastAsia="仿宋_GB2312" w:hAnsi="Times New Roman" w:cs="Times New Roman"/>
                <w:sz w:val="24"/>
                <w:szCs w:val="24"/>
              </w:rPr>
              <w:t>Lakowicz</w:t>
            </w:r>
            <w:proofErr w:type="spellEnd"/>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分析化学专业必读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4</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Electrochemistry,  Principles, Methods, and Applications</w:t>
            </w:r>
            <w:r>
              <w:rPr>
                <w:rFonts w:ascii="Times New Roman" w:eastAsia="仿宋_GB2312" w:hAnsi="Times New Roman" w:cs="Times New Roman"/>
                <w:sz w:val="24"/>
                <w:szCs w:val="24"/>
              </w:rPr>
              <w:t>，</w:t>
            </w:r>
            <w:r>
              <w:rPr>
                <w:rFonts w:ascii="Times New Roman" w:eastAsia="仿宋_GB2312" w:hAnsi="Times New Roman" w:cs="Times New Roman"/>
                <w:sz w:val="24"/>
                <w:szCs w:val="24"/>
              </w:rPr>
              <w:t>Oxford University Press</w:t>
            </w:r>
            <w:r>
              <w:rPr>
                <w:rFonts w:ascii="Times New Roman" w:eastAsia="仿宋_GB2312" w:hAnsi="Times New Roman" w:cs="Times New Roman"/>
                <w:sz w:val="24"/>
                <w:szCs w:val="24"/>
              </w:rPr>
              <w:t>，</w:t>
            </w:r>
            <w:r>
              <w:rPr>
                <w:rFonts w:ascii="Times New Roman" w:eastAsia="仿宋_GB2312" w:hAnsi="Times New Roman" w:cs="Times New Roman"/>
                <w:sz w:val="24"/>
                <w:szCs w:val="24"/>
              </w:rPr>
              <w:t>First published 1993</w:t>
            </w:r>
            <w:r>
              <w:rPr>
                <w:rFonts w:ascii="Times New Roman" w:eastAsia="仿宋_GB2312" w:hAnsi="Times New Roman" w:cs="Times New Roman"/>
                <w:sz w:val="24"/>
                <w:szCs w:val="24"/>
              </w:rPr>
              <w:t>，</w:t>
            </w:r>
            <w:r>
              <w:rPr>
                <w:rFonts w:ascii="Times New Roman" w:eastAsia="仿宋_GB2312" w:hAnsi="Times New Roman" w:cs="Times New Roman"/>
                <w:sz w:val="24"/>
                <w:szCs w:val="24"/>
              </w:rPr>
              <w:t xml:space="preserve"> Reprinted 1994</w:t>
            </w:r>
            <w:r>
              <w:rPr>
                <w:rFonts w:ascii="Times New Roman" w:eastAsia="仿宋_GB2312" w:hAnsi="Times New Roman" w:cs="Times New Roman"/>
                <w:sz w:val="24"/>
                <w:szCs w:val="24"/>
              </w:rPr>
              <w:t>（学院有</w:t>
            </w:r>
            <w:r>
              <w:rPr>
                <w:rFonts w:ascii="Times New Roman" w:eastAsia="仿宋_GB2312" w:hAnsi="Times New Roman" w:cs="Times New Roman"/>
                <w:sz w:val="24"/>
                <w:szCs w:val="24"/>
              </w:rPr>
              <w:t>PDF</w:t>
            </w:r>
            <w:r>
              <w:rPr>
                <w:rFonts w:ascii="Times New Roman" w:eastAsia="仿宋_GB2312" w:hAnsi="Times New Roman" w:cs="Times New Roman"/>
                <w:sz w:val="24"/>
                <w:szCs w:val="24"/>
              </w:rPr>
              <w:t>版）</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Christopher M. A. Brett and Ana Maria Oliveira Brett</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分析化学专业必读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Advanced Organic</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Chemistry </w:t>
            </w:r>
            <w:r>
              <w:rPr>
                <w:rFonts w:ascii="Times New Roman" w:eastAsia="仿宋_GB2312" w:hAnsi="Times New Roman" w:cs="Times New Roman"/>
                <w:sz w:val="24"/>
                <w:szCs w:val="24"/>
              </w:rPr>
              <w:t>（</w:t>
            </w:r>
            <w:r>
              <w:rPr>
                <w:rFonts w:ascii="Times New Roman" w:eastAsia="仿宋_GB2312" w:hAnsi="Times New Roman" w:cs="Times New Roman"/>
                <w:sz w:val="24"/>
                <w:szCs w:val="24"/>
              </w:rPr>
              <w:t>A and B</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Springer</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有机化学专业选读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6</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March's Advanced Organic Chemistry (</w:t>
            </w:r>
            <w:r>
              <w:rPr>
                <w:rFonts w:ascii="Times New Roman" w:eastAsia="仿宋_GB2312" w:hAnsi="Times New Roman" w:cs="Times New Roman"/>
                <w:sz w:val="24"/>
                <w:szCs w:val="24"/>
              </w:rPr>
              <w:t>含中文版，李</w:t>
            </w:r>
            <w:proofErr w:type="gramStart"/>
            <w:r>
              <w:rPr>
                <w:rFonts w:ascii="Times New Roman" w:eastAsia="仿宋_GB2312" w:hAnsi="Times New Roman" w:cs="Times New Roman"/>
                <w:sz w:val="24"/>
                <w:szCs w:val="24"/>
              </w:rPr>
              <w:t>艳梅译</w:t>
            </w:r>
            <w:proofErr w:type="gramEnd"/>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John Wiley and Sons</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7</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The Logic of Chemical Synthesis</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801DC2">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lastRenderedPageBreak/>
              <w:t>8</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Name Reactions</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Springer</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有机化学专业选读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Strategic Applications</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of Named Reactions in</w:t>
            </w:r>
          </w:p>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Organic Synthesis</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Elsevier</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有机化学专业选读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proofErr w:type="spellStart"/>
            <w:r>
              <w:rPr>
                <w:rFonts w:ascii="Times New Roman" w:eastAsia="仿宋_GB2312" w:hAnsi="Times New Roman" w:cs="Times New Roman"/>
                <w:sz w:val="24"/>
                <w:szCs w:val="24"/>
              </w:rPr>
              <w:t>Organotransition</w:t>
            </w:r>
            <w:proofErr w:type="spellEnd"/>
            <w:r>
              <w:rPr>
                <w:rFonts w:ascii="Times New Roman" w:eastAsia="仿宋_GB2312" w:hAnsi="Times New Roman" w:cs="Times New Roman"/>
                <w:sz w:val="24"/>
                <w:szCs w:val="24"/>
              </w:rPr>
              <w:t> Metal Chemistry: From Bonding to Catalysis</w:t>
            </w:r>
            <w:r>
              <w:rPr>
                <w:rFonts w:ascii="Times New Roman" w:eastAsia="仿宋_GB2312" w:hAnsi="Times New Roman" w:cs="Times New Roman"/>
                <w:sz w:val="24"/>
                <w:szCs w:val="24"/>
              </w:rPr>
              <w:t>（</w:t>
            </w:r>
            <w:r>
              <w:rPr>
                <w:rFonts w:ascii="Times New Roman" w:eastAsia="仿宋_GB2312" w:hAnsi="Times New Roman" w:cs="Times New Roman"/>
                <w:sz w:val="24"/>
                <w:szCs w:val="24"/>
              </w:rPr>
              <w:t> University Science Books</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John F. </w:t>
            </w:r>
            <w:proofErr w:type="spellStart"/>
            <w:r>
              <w:rPr>
                <w:rFonts w:ascii="Times New Roman" w:eastAsia="仿宋_GB2312" w:hAnsi="Times New Roman" w:cs="Times New Roman"/>
                <w:sz w:val="24"/>
                <w:szCs w:val="24"/>
              </w:rPr>
              <w:t>Hartwig</w:t>
            </w:r>
            <w:proofErr w:type="spellEnd"/>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有机化学专业选读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11</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量子化学（第二版，上册）</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科学出版社</w:t>
            </w:r>
            <w:r>
              <w:rPr>
                <w:rFonts w:ascii="Times New Roman" w:eastAsia="仿宋_GB2312" w:hAnsi="Times New Roman" w:cs="Times New Roman"/>
                <w:sz w:val="24"/>
                <w:szCs w:val="24"/>
              </w:rPr>
              <w:t>, 2007</w:t>
            </w:r>
            <w:r>
              <w:rPr>
                <w:rFonts w:ascii="Times New Roman" w:eastAsia="仿宋_GB2312" w:hAnsi="Times New Roman" w:cs="Times New Roman"/>
                <w:sz w:val="24"/>
                <w:szCs w:val="24"/>
              </w:rPr>
              <w:t>年</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徐光宪</w:t>
            </w:r>
            <w:r>
              <w:rPr>
                <w:rFonts w:ascii="Times New Roman" w:eastAsia="仿宋_GB2312" w:hAnsi="Times New Roman" w:cs="Times New Roman"/>
                <w:sz w:val="24"/>
                <w:szCs w:val="24"/>
              </w:rPr>
              <w:t xml:space="preserve">, </w:t>
            </w:r>
            <w:proofErr w:type="gramStart"/>
            <w:r>
              <w:rPr>
                <w:rFonts w:ascii="Times New Roman" w:eastAsia="仿宋_GB2312" w:hAnsi="Times New Roman" w:cs="Times New Roman"/>
                <w:sz w:val="24"/>
                <w:szCs w:val="24"/>
              </w:rPr>
              <w:t>黎乐民</w:t>
            </w:r>
            <w:proofErr w:type="gramEnd"/>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王德民编著</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物理化学专业必读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12</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 xml:space="preserve">Jonathan W. Steed and </w:t>
            </w:r>
            <w:proofErr w:type="spellStart"/>
            <w:r>
              <w:rPr>
                <w:rFonts w:ascii="Times New Roman" w:eastAsia="仿宋_GB2312" w:hAnsi="Times New Roman" w:cs="Times New Roman"/>
                <w:sz w:val="24"/>
                <w:szCs w:val="24"/>
              </w:rPr>
              <w:t>Lerry</w:t>
            </w:r>
            <w:proofErr w:type="spellEnd"/>
            <w:r>
              <w:rPr>
                <w:rFonts w:ascii="Times New Roman" w:eastAsia="仿宋_GB2312" w:hAnsi="Times New Roman" w:cs="Times New Roman"/>
                <w:sz w:val="24"/>
                <w:szCs w:val="24"/>
              </w:rPr>
              <w:t xml:space="preserve"> L. Atwood. Supramolecular Chemistry(Second Edition),  Ltd. 2009</w:t>
            </w:r>
            <w:r>
              <w:rPr>
                <w:rFonts w:ascii="Times New Roman" w:eastAsia="仿宋_GB2312" w:hAnsi="Times New Roman" w:cs="Times New Roman"/>
                <w:sz w:val="24"/>
                <w:szCs w:val="24"/>
              </w:rPr>
              <w:t>（</w:t>
            </w:r>
            <w:r>
              <w:rPr>
                <w:rFonts w:ascii="Times New Roman" w:eastAsia="仿宋_GB2312" w:hAnsi="Times New Roman" w:cs="Times New Roman"/>
                <w:sz w:val="24"/>
                <w:szCs w:val="24"/>
              </w:rPr>
              <w:t>PDF</w:t>
            </w:r>
            <w:r>
              <w:rPr>
                <w:rFonts w:ascii="Times New Roman" w:eastAsia="仿宋_GB2312" w:hAnsi="Times New Roman" w:cs="Times New Roman"/>
                <w:sz w:val="24"/>
                <w:szCs w:val="24"/>
              </w:rPr>
              <w:t>版物理化学各科研团队负责人处皆有）</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John Wiley and Sons</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物理化学专业必读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13</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聚合物近代仪器分析（清华大学出版社，</w:t>
            </w:r>
            <w:r>
              <w:rPr>
                <w:rFonts w:ascii="Times New Roman" w:eastAsia="仿宋_GB2312" w:hAnsi="Times New Roman" w:cs="Times New Roman"/>
                <w:sz w:val="24"/>
                <w:szCs w:val="24"/>
              </w:rPr>
              <w:t>2010 ISBN 9787302207085</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杨睿等</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14</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大分子自组装（科学出版社，</w:t>
            </w:r>
            <w:r>
              <w:rPr>
                <w:rFonts w:ascii="Times New Roman" w:eastAsia="仿宋_GB2312" w:hAnsi="Times New Roman" w:cs="Times New Roman"/>
                <w:sz w:val="24"/>
                <w:szCs w:val="24"/>
              </w:rPr>
              <w:t>2006 ISBN 9787030172365</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江明等</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15</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活性聚合（中国石化出版社，</w:t>
            </w:r>
            <w:r>
              <w:rPr>
                <w:rFonts w:ascii="Times New Roman" w:eastAsia="仿宋_GB2312" w:hAnsi="Times New Roman" w:cs="Times New Roman"/>
                <w:sz w:val="24"/>
                <w:szCs w:val="24"/>
              </w:rPr>
              <w:t>1998ISBN 9787800436536</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pPr>
            <w:r>
              <w:rPr>
                <w:rFonts w:ascii="Times New Roman" w:eastAsia="仿宋_GB2312" w:hAnsi="Times New Roman" w:cs="Times New Roman"/>
                <w:sz w:val="24"/>
                <w:szCs w:val="24"/>
              </w:rPr>
              <w:t>张洪敏</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16</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现代分子光化学（化学工业出版社</w:t>
            </w:r>
            <w:r>
              <w:rPr>
                <w:rFonts w:ascii="Times New Roman" w:eastAsia="仿宋_GB2312" w:hAnsi="Times New Roman" w:cs="Times New Roman"/>
                <w:sz w:val="24"/>
                <w:szCs w:val="24"/>
              </w:rPr>
              <w:t>ISBN 978-7-122-21784-4</w:t>
            </w:r>
            <w:r>
              <w:rPr>
                <w:rFonts w:ascii="Times New Roman" w:eastAsia="仿宋_GB2312" w:hAnsi="Times New Roman" w:cs="Times New Roman"/>
                <w:sz w:val="24"/>
                <w:szCs w:val="24"/>
              </w:rPr>
              <w:t>）</w:t>
            </w:r>
            <w:r>
              <w:rPr>
                <w:rFonts w:ascii="Times New Roman" w:eastAsia="仿宋_GB2312" w:hAnsi="Times New Roman" w:cs="Times New Roman"/>
                <w:sz w:val="24"/>
                <w:szCs w:val="24"/>
              </w:rPr>
              <w:br/>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吴骊珠，</w:t>
            </w:r>
            <w:r>
              <w:rPr>
                <w:rFonts w:ascii="Times New Roman" w:eastAsia="仿宋_GB2312" w:hAnsi="Times New Roman" w:cs="Times New Roman"/>
                <w:sz w:val="24"/>
                <w:szCs w:val="24"/>
              </w:rPr>
              <w:t> </w:t>
            </w:r>
            <w:r>
              <w:rPr>
                <w:rFonts w:ascii="Times New Roman" w:eastAsia="仿宋_GB2312" w:hAnsi="Times New Roman" w:cs="Times New Roman"/>
                <w:sz w:val="24"/>
                <w:szCs w:val="24"/>
              </w:rPr>
              <w:t>佟振合</w:t>
            </w:r>
            <w:r>
              <w:rPr>
                <w:rFonts w:ascii="Times New Roman" w:eastAsia="仿宋_GB2312" w:hAnsi="Times New Roman" w:cs="Times New Roman"/>
                <w:sz w:val="24"/>
                <w:szCs w:val="24"/>
              </w:rPr>
              <w:br/>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17</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有机光电功能材料</w:t>
            </w:r>
            <w:r>
              <w:rPr>
                <w:rFonts w:ascii="Times New Roman" w:eastAsia="仿宋_GB2312" w:hAnsi="Times New Roman" w:cs="Times New Roman"/>
                <w:sz w:val="24"/>
                <w:szCs w:val="24"/>
              </w:rPr>
              <w:t> </w:t>
            </w:r>
            <w:r>
              <w:rPr>
                <w:rFonts w:ascii="Times New Roman" w:eastAsia="仿宋_GB2312" w:hAnsi="Times New Roman" w:cs="Times New Roman"/>
                <w:sz w:val="24"/>
                <w:szCs w:val="24"/>
              </w:rPr>
              <w:t>化学工业出版社</w:t>
            </w:r>
            <w:r>
              <w:rPr>
                <w:rFonts w:ascii="Times New Roman" w:eastAsia="仿宋_GB2312" w:hAnsi="Times New Roman" w:cs="Times New Roman"/>
                <w:sz w:val="24"/>
                <w:szCs w:val="24"/>
              </w:rPr>
              <w:t>ISBN 978-7-122-13721-0</w:t>
            </w:r>
            <w:r>
              <w:rPr>
                <w:rFonts w:ascii="Times New Roman" w:eastAsia="仿宋_GB2312" w:hAnsi="Times New Roman" w:cs="Times New Roman"/>
                <w:sz w:val="24"/>
                <w:szCs w:val="24"/>
              </w:rPr>
              <w:t>）</w:t>
            </w:r>
            <w:r>
              <w:rPr>
                <w:rFonts w:ascii="Times New Roman" w:eastAsia="仿宋_GB2312" w:hAnsi="Times New Roman" w:cs="Times New Roman"/>
                <w:sz w:val="24"/>
                <w:szCs w:val="24"/>
              </w:rPr>
              <w:br/>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李祥高、王世荣</w:t>
            </w:r>
            <w:r>
              <w:rPr>
                <w:rFonts w:ascii="Times New Roman" w:eastAsia="仿宋_GB2312" w:hAnsi="Times New Roman" w:cs="Times New Roman"/>
                <w:sz w:val="24"/>
                <w:szCs w:val="24"/>
              </w:rPr>
              <w:br/>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18</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高聚物的结构与性能（化学工业出版社</w:t>
            </w:r>
            <w:r>
              <w:rPr>
                <w:rFonts w:ascii="Times New Roman" w:eastAsia="仿宋_GB2312" w:hAnsi="Times New Roman" w:cs="Times New Roman"/>
                <w:sz w:val="24"/>
                <w:szCs w:val="24"/>
              </w:rPr>
              <w:t> ISBN 9787122142337</w:t>
            </w:r>
            <w:r>
              <w:rPr>
                <w:rFonts w:ascii="Times New Roman" w:eastAsia="仿宋_GB2312" w:hAnsi="Times New Roman" w:cs="Times New Roman"/>
                <w:sz w:val="24"/>
                <w:szCs w:val="24"/>
              </w:rPr>
              <w:t>）</w:t>
            </w:r>
            <w:r>
              <w:rPr>
                <w:rFonts w:ascii="Times New Roman" w:eastAsia="仿宋_GB2312" w:hAnsi="Times New Roman" w:cs="Times New Roman"/>
                <w:sz w:val="24"/>
                <w:szCs w:val="24"/>
              </w:rPr>
              <w:br/>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proofErr w:type="gramStart"/>
            <w:r>
              <w:rPr>
                <w:rFonts w:ascii="Times New Roman" w:eastAsia="仿宋_GB2312" w:hAnsi="Times New Roman" w:cs="Times New Roman"/>
                <w:sz w:val="24"/>
                <w:szCs w:val="24"/>
              </w:rPr>
              <w:t>马德柱等</w:t>
            </w:r>
            <w:proofErr w:type="gramEnd"/>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高分子化学与物理专业必读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19</w:t>
            </w:r>
          </w:p>
          <w:p w:rsidR="00801DC2" w:rsidRDefault="00801DC2">
            <w:pPr>
              <w:jc w:val="center"/>
              <w:rPr>
                <w:rFonts w:ascii="Times New Roman" w:eastAsia="仿宋_GB2312" w:hAnsi="Times New Roman" w:cs="Times New Roman"/>
                <w:sz w:val="24"/>
                <w:szCs w:val="24"/>
              </w:rPr>
            </w:pP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分子生物学</w:t>
            </w:r>
            <w:r>
              <w:rPr>
                <w:rFonts w:ascii="Times New Roman" w:eastAsia="仿宋_GB2312" w:hAnsi="Times New Roman" w:cs="Times New Roman"/>
                <w:sz w:val="24"/>
                <w:szCs w:val="24"/>
              </w:rPr>
              <w:t>(</w:t>
            </w:r>
            <w:r>
              <w:rPr>
                <w:rFonts w:ascii="Times New Roman" w:eastAsia="仿宋_GB2312" w:hAnsi="Times New Roman" w:cs="Times New Roman"/>
                <w:sz w:val="24"/>
                <w:szCs w:val="24"/>
              </w:rPr>
              <w:t>清华大学出版社</w:t>
            </w:r>
            <w:r>
              <w:rPr>
                <w:rFonts w:ascii="Times New Roman" w:eastAsia="仿宋_GB2312" w:hAnsi="Times New Roman" w:cs="Times New Roman"/>
                <w:sz w:val="24"/>
                <w:szCs w:val="24"/>
              </w:rPr>
              <w:t>, 2007</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12</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Robert F. Weaver </w:t>
            </w:r>
            <w:r>
              <w:rPr>
                <w:rFonts w:ascii="Times New Roman" w:eastAsia="仿宋_GB2312" w:hAnsi="Times New Roman" w:cs="Times New Roman"/>
                <w:sz w:val="24"/>
                <w:szCs w:val="24"/>
              </w:rPr>
              <w:t>主编</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刘进元等译</w:t>
            </w:r>
            <w:r>
              <w:rPr>
                <w:rFonts w:ascii="Times New Roman" w:eastAsia="仿宋_GB2312" w:hAnsi="Times New Roman" w:cs="Times New Roman"/>
                <w:sz w:val="24"/>
                <w:szCs w:val="24"/>
              </w:rPr>
              <w:t xml:space="preserve">. </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化学生物学专业必读</w:t>
            </w:r>
          </w:p>
        </w:tc>
      </w:tr>
      <w:tr w:rsidR="00801DC2">
        <w:tblPrEx>
          <w:tblCellMar>
            <w:top w:w="0" w:type="dxa"/>
            <w:left w:w="108" w:type="dxa"/>
            <w:bottom w:w="0" w:type="dxa"/>
            <w:right w:w="108" w:type="dxa"/>
          </w:tblCellMar>
        </w:tblPrEx>
        <w:trPr>
          <w:trHeight w:val="624"/>
        </w:trPr>
        <w:tc>
          <w:tcPr>
            <w:tcW w:w="15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20</w:t>
            </w:r>
          </w:p>
        </w:tc>
        <w:tc>
          <w:tcPr>
            <w:tcW w:w="3401"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proofErr w:type="spellStart"/>
            <w:r>
              <w:rPr>
                <w:rFonts w:ascii="Times New Roman" w:eastAsia="仿宋_GB2312" w:hAnsi="Times New Roman" w:cs="Times New Roman"/>
                <w:sz w:val="24"/>
                <w:szCs w:val="24"/>
              </w:rPr>
              <w:t>Bioconjugate</w:t>
            </w:r>
            <w:proofErr w:type="spellEnd"/>
            <w:r>
              <w:rPr>
                <w:rFonts w:ascii="Times New Roman" w:eastAsia="仿宋_GB2312" w:hAnsi="Times New Roman" w:cs="Times New Roman"/>
                <w:sz w:val="24"/>
                <w:szCs w:val="24"/>
              </w:rPr>
              <w:t xml:space="preserve"> Chemistry</w:t>
            </w:r>
            <w:proofErr w:type="gramStart"/>
            <w:r>
              <w:rPr>
                <w:rFonts w:ascii="Times New Roman" w:eastAsia="仿宋_GB2312" w:hAnsi="Times New Roman" w:cs="Times New Roman"/>
                <w:sz w:val="24"/>
                <w:szCs w:val="24"/>
              </w:rPr>
              <w:t>》</w:t>
            </w:r>
            <w:proofErr w:type="gramEnd"/>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第二版</w:t>
            </w:r>
            <w:r>
              <w:rPr>
                <w:rFonts w:ascii="Times New Roman" w:eastAsia="仿宋_GB2312" w:hAnsi="Times New Roman" w:cs="Times New Roman"/>
                <w:sz w:val="24"/>
                <w:szCs w:val="24"/>
              </w:rPr>
              <w:t>, Academic Press. 2008)</w:t>
            </w:r>
          </w:p>
        </w:tc>
        <w:tc>
          <w:tcPr>
            <w:tcW w:w="167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Greg T. </w:t>
            </w:r>
            <w:proofErr w:type="spellStart"/>
            <w:r>
              <w:rPr>
                <w:rFonts w:ascii="Times New Roman" w:eastAsia="仿宋_GB2312" w:hAnsi="Times New Roman" w:cs="Times New Roman"/>
                <w:sz w:val="24"/>
                <w:szCs w:val="24"/>
              </w:rPr>
              <w:t>Hermanson</w:t>
            </w:r>
            <w:proofErr w:type="spellEnd"/>
            <w:r>
              <w:rPr>
                <w:rFonts w:ascii="Times New Roman" w:eastAsia="仿宋_GB2312" w:hAnsi="Times New Roman" w:cs="Times New Roman"/>
                <w:sz w:val="24"/>
                <w:szCs w:val="24"/>
              </w:rPr>
              <w:t>主编</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801DC2" w:rsidRDefault="00F2765B">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化学生物学专业必读</w:t>
            </w:r>
          </w:p>
        </w:tc>
      </w:tr>
      <w:tr w:rsidR="00801DC2">
        <w:trPr>
          <w:trHeight w:val="624"/>
        </w:trPr>
        <w:tc>
          <w:tcPr>
            <w:tcW w:w="910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01DC2" w:rsidRDefault="00F2765B">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文献阅读考核方式：</w:t>
            </w:r>
            <w:r>
              <w:rPr>
                <w:rFonts w:ascii="Times New Roman" w:eastAsia="仿宋_GB2312" w:hAnsi="Times New Roman" w:cs="Times New Roman"/>
                <w:color w:val="000000"/>
                <w:kern w:val="0"/>
                <w:sz w:val="24"/>
                <w:szCs w:val="24"/>
                <w:lang w:bidi="ar"/>
              </w:rPr>
              <w:br/>
              <w:t>1.</w:t>
            </w:r>
            <w:r>
              <w:rPr>
                <w:rFonts w:ascii="Times New Roman" w:eastAsia="仿宋_GB2312" w:hAnsi="Times New Roman" w:cs="Times New Roman"/>
                <w:color w:val="000000"/>
                <w:kern w:val="0"/>
                <w:sz w:val="24"/>
                <w:szCs w:val="24"/>
                <w:lang w:bidi="ar"/>
              </w:rPr>
              <w:t>课程考核：将此文献作为课程考核的考试范围；</w:t>
            </w:r>
            <w:r>
              <w:rPr>
                <w:rFonts w:ascii="Times New Roman" w:eastAsia="仿宋_GB2312" w:hAnsi="Times New Roman" w:cs="Times New Roman"/>
                <w:color w:val="000000"/>
                <w:kern w:val="0"/>
                <w:sz w:val="24"/>
                <w:szCs w:val="24"/>
                <w:lang w:bidi="ar"/>
              </w:rPr>
              <w:br/>
            </w:r>
            <w:r>
              <w:rPr>
                <w:rFonts w:ascii="Times New Roman" w:eastAsia="仿宋_GB2312" w:hAnsi="Times New Roman" w:cs="Times New Roman"/>
                <w:color w:val="000000"/>
                <w:kern w:val="0"/>
                <w:sz w:val="24"/>
                <w:szCs w:val="24"/>
                <w:lang w:bidi="ar"/>
              </w:rPr>
              <w:lastRenderedPageBreak/>
              <w:t>2.</w:t>
            </w:r>
            <w:r>
              <w:rPr>
                <w:rFonts w:ascii="Times New Roman" w:eastAsia="仿宋_GB2312" w:hAnsi="Times New Roman" w:cs="Times New Roman"/>
                <w:color w:val="000000"/>
                <w:kern w:val="0"/>
                <w:sz w:val="24"/>
                <w:szCs w:val="24"/>
                <w:lang w:bidi="ar"/>
              </w:rPr>
              <w:t>结合开题报告或学科综合考试进行；</w:t>
            </w:r>
            <w:r>
              <w:rPr>
                <w:rFonts w:ascii="Times New Roman" w:eastAsia="仿宋_GB2312" w:hAnsi="Times New Roman" w:cs="Times New Roman"/>
                <w:color w:val="000000"/>
                <w:kern w:val="0"/>
                <w:sz w:val="24"/>
                <w:szCs w:val="24"/>
                <w:lang w:bidi="ar"/>
              </w:rPr>
              <w:br/>
              <w:t>3.</w:t>
            </w:r>
            <w:r>
              <w:rPr>
                <w:rFonts w:ascii="Times New Roman" w:eastAsia="仿宋_GB2312" w:hAnsi="Times New Roman" w:cs="Times New Roman"/>
                <w:color w:val="000000"/>
                <w:kern w:val="0"/>
                <w:sz w:val="24"/>
                <w:szCs w:val="24"/>
                <w:lang w:bidi="ar"/>
              </w:rPr>
              <w:t>撰写读书报告；</w:t>
            </w:r>
            <w:r>
              <w:rPr>
                <w:rFonts w:ascii="Times New Roman" w:eastAsia="仿宋_GB2312" w:hAnsi="Times New Roman" w:cs="Times New Roman"/>
                <w:color w:val="000000"/>
                <w:kern w:val="0"/>
                <w:sz w:val="24"/>
                <w:szCs w:val="24"/>
                <w:lang w:bidi="ar"/>
              </w:rPr>
              <w:br/>
              <w:t>4.</w:t>
            </w:r>
            <w:r>
              <w:rPr>
                <w:rFonts w:ascii="Times New Roman" w:eastAsia="仿宋_GB2312" w:hAnsi="Times New Roman" w:cs="Times New Roman"/>
                <w:color w:val="000000"/>
                <w:kern w:val="0"/>
                <w:sz w:val="24"/>
                <w:szCs w:val="24"/>
                <w:lang w:bidi="ar"/>
              </w:rPr>
              <w:t>其他请注明。</w:t>
            </w:r>
          </w:p>
        </w:tc>
      </w:tr>
    </w:tbl>
    <w:p w:rsidR="00801DC2" w:rsidRDefault="00F2765B">
      <w:pPr>
        <w:widowControl/>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lastRenderedPageBreak/>
        <w:t>注：本表为研究生信息管理系统导出模板，填写完成后，须导入研究生信息管理系统。</w:t>
      </w:r>
    </w:p>
    <w:p w:rsidR="00801DC2" w:rsidRDefault="00801DC2">
      <w:pPr>
        <w:widowControl/>
        <w:spacing w:line="360" w:lineRule="auto"/>
        <w:rPr>
          <w:rFonts w:ascii="Times New Roman" w:eastAsia="仿宋_GB2312" w:hAnsi="Times New Roman" w:cs="Times New Roman"/>
          <w:kern w:val="0"/>
          <w:sz w:val="24"/>
          <w:szCs w:val="24"/>
        </w:rPr>
      </w:pPr>
    </w:p>
    <w:sectPr w:rsidR="00801DC2">
      <w:footerReference w:type="default" r:id="rId9"/>
      <w:pgSz w:w="11906" w:h="16838"/>
      <w:pgMar w:top="1417" w:right="1417" w:bottom="1417" w:left="141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98D" w:rsidRDefault="0006098D">
      <w:r>
        <w:separator/>
      </w:r>
    </w:p>
  </w:endnote>
  <w:endnote w:type="continuationSeparator" w:id="0">
    <w:p w:rsidR="0006098D" w:rsidRDefault="0006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DC2" w:rsidRDefault="00F2765B">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01DC2" w:rsidRDefault="00F2765B">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915D8A">
                            <w:rPr>
                              <w:rFonts w:ascii="Times New Roman" w:hAnsi="Times New Roman" w:cs="Times New Roman"/>
                              <w:noProof/>
                              <w:sz w:val="18"/>
                            </w:rPr>
                            <w:t>1</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01DC2" w:rsidRDefault="00F2765B">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915D8A">
                      <w:rPr>
                        <w:rFonts w:ascii="Times New Roman" w:hAnsi="Times New Roman" w:cs="Times New Roman"/>
                        <w:noProof/>
                        <w:sz w:val="18"/>
                      </w:rPr>
                      <w:t>1</w:t>
                    </w:r>
                    <w:r>
                      <w:rPr>
                        <w:rFonts w:ascii="Times New Roman" w:hAnsi="Times New Roman" w:cs="Times New Roman"/>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98D" w:rsidRDefault="0006098D">
      <w:r>
        <w:separator/>
      </w:r>
    </w:p>
  </w:footnote>
  <w:footnote w:type="continuationSeparator" w:id="0">
    <w:p w:rsidR="0006098D" w:rsidRDefault="00060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2"/>
    <w:rsid w:val="00015837"/>
    <w:rsid w:val="0001596E"/>
    <w:rsid w:val="00034256"/>
    <w:rsid w:val="0003592B"/>
    <w:rsid w:val="00042E15"/>
    <w:rsid w:val="0004534E"/>
    <w:rsid w:val="0005043F"/>
    <w:rsid w:val="0006098D"/>
    <w:rsid w:val="0006247F"/>
    <w:rsid w:val="0006640D"/>
    <w:rsid w:val="00066BA5"/>
    <w:rsid w:val="000748F9"/>
    <w:rsid w:val="000A1536"/>
    <w:rsid w:val="000A51AB"/>
    <w:rsid w:val="000C1640"/>
    <w:rsid w:val="000C1CFD"/>
    <w:rsid w:val="000E025F"/>
    <w:rsid w:val="000E0518"/>
    <w:rsid w:val="000F0CB4"/>
    <w:rsid w:val="00111DA1"/>
    <w:rsid w:val="00117813"/>
    <w:rsid w:val="00136E2D"/>
    <w:rsid w:val="00140F55"/>
    <w:rsid w:val="00143921"/>
    <w:rsid w:val="00146BA8"/>
    <w:rsid w:val="00150BE2"/>
    <w:rsid w:val="00151D73"/>
    <w:rsid w:val="00155A72"/>
    <w:rsid w:val="001560D7"/>
    <w:rsid w:val="00170C83"/>
    <w:rsid w:val="001719D0"/>
    <w:rsid w:val="00177A9B"/>
    <w:rsid w:val="001819E5"/>
    <w:rsid w:val="001842A1"/>
    <w:rsid w:val="001937E7"/>
    <w:rsid w:val="00194C30"/>
    <w:rsid w:val="00197C4E"/>
    <w:rsid w:val="001A257F"/>
    <w:rsid w:val="001A50E0"/>
    <w:rsid w:val="001B5912"/>
    <w:rsid w:val="001D30FA"/>
    <w:rsid w:val="001D6769"/>
    <w:rsid w:val="001E52FC"/>
    <w:rsid w:val="001E6F1B"/>
    <w:rsid w:val="002041D6"/>
    <w:rsid w:val="002151B3"/>
    <w:rsid w:val="00220B55"/>
    <w:rsid w:val="00234D30"/>
    <w:rsid w:val="002434BB"/>
    <w:rsid w:val="002468E3"/>
    <w:rsid w:val="00262406"/>
    <w:rsid w:val="00267B5B"/>
    <w:rsid w:val="00271669"/>
    <w:rsid w:val="00284C8B"/>
    <w:rsid w:val="00287BC8"/>
    <w:rsid w:val="00294A7F"/>
    <w:rsid w:val="002A0E50"/>
    <w:rsid w:val="002A21C4"/>
    <w:rsid w:val="002A40DB"/>
    <w:rsid w:val="002C3EE6"/>
    <w:rsid w:val="002D3630"/>
    <w:rsid w:val="002D368D"/>
    <w:rsid w:val="002E69A8"/>
    <w:rsid w:val="002E7CFF"/>
    <w:rsid w:val="00316A00"/>
    <w:rsid w:val="00325F3E"/>
    <w:rsid w:val="00330235"/>
    <w:rsid w:val="00334870"/>
    <w:rsid w:val="00340820"/>
    <w:rsid w:val="003428D6"/>
    <w:rsid w:val="00373B53"/>
    <w:rsid w:val="00375A5A"/>
    <w:rsid w:val="00380C6E"/>
    <w:rsid w:val="00384E64"/>
    <w:rsid w:val="00385A86"/>
    <w:rsid w:val="00386409"/>
    <w:rsid w:val="0038652B"/>
    <w:rsid w:val="003A5269"/>
    <w:rsid w:val="003A5865"/>
    <w:rsid w:val="003C482B"/>
    <w:rsid w:val="003F00E4"/>
    <w:rsid w:val="003F2533"/>
    <w:rsid w:val="00413168"/>
    <w:rsid w:val="00431866"/>
    <w:rsid w:val="00445D87"/>
    <w:rsid w:val="00451842"/>
    <w:rsid w:val="00457963"/>
    <w:rsid w:val="00461CFA"/>
    <w:rsid w:val="004658C6"/>
    <w:rsid w:val="00476ED7"/>
    <w:rsid w:val="0048402E"/>
    <w:rsid w:val="004867BF"/>
    <w:rsid w:val="00487B7B"/>
    <w:rsid w:val="004939D9"/>
    <w:rsid w:val="00493EC2"/>
    <w:rsid w:val="00494A6F"/>
    <w:rsid w:val="004A12D5"/>
    <w:rsid w:val="004A4261"/>
    <w:rsid w:val="004A5B10"/>
    <w:rsid w:val="004A66F3"/>
    <w:rsid w:val="004A7680"/>
    <w:rsid w:val="004C13C3"/>
    <w:rsid w:val="004D247F"/>
    <w:rsid w:val="004D3342"/>
    <w:rsid w:val="004E53C6"/>
    <w:rsid w:val="004E6E09"/>
    <w:rsid w:val="004F0522"/>
    <w:rsid w:val="004F6A07"/>
    <w:rsid w:val="004F6AC0"/>
    <w:rsid w:val="00501117"/>
    <w:rsid w:val="00510129"/>
    <w:rsid w:val="00514BAC"/>
    <w:rsid w:val="005175B1"/>
    <w:rsid w:val="0052252A"/>
    <w:rsid w:val="0052294E"/>
    <w:rsid w:val="00542347"/>
    <w:rsid w:val="0055134A"/>
    <w:rsid w:val="00551A9C"/>
    <w:rsid w:val="00556642"/>
    <w:rsid w:val="005719FE"/>
    <w:rsid w:val="00596E50"/>
    <w:rsid w:val="005B2841"/>
    <w:rsid w:val="005B2D13"/>
    <w:rsid w:val="005B2DBE"/>
    <w:rsid w:val="005C51F8"/>
    <w:rsid w:val="005C6397"/>
    <w:rsid w:val="005D7BB7"/>
    <w:rsid w:val="005E2604"/>
    <w:rsid w:val="005E29F4"/>
    <w:rsid w:val="005E3840"/>
    <w:rsid w:val="005E49FD"/>
    <w:rsid w:val="005E5E88"/>
    <w:rsid w:val="005E6342"/>
    <w:rsid w:val="006033C6"/>
    <w:rsid w:val="00607196"/>
    <w:rsid w:val="00607682"/>
    <w:rsid w:val="00614A33"/>
    <w:rsid w:val="00624EEB"/>
    <w:rsid w:val="00626850"/>
    <w:rsid w:val="00647456"/>
    <w:rsid w:val="006533B8"/>
    <w:rsid w:val="00663696"/>
    <w:rsid w:val="006645C4"/>
    <w:rsid w:val="00680467"/>
    <w:rsid w:val="00681CAA"/>
    <w:rsid w:val="00686619"/>
    <w:rsid w:val="00694DF9"/>
    <w:rsid w:val="006B42E5"/>
    <w:rsid w:val="006E7776"/>
    <w:rsid w:val="006F2546"/>
    <w:rsid w:val="006F565B"/>
    <w:rsid w:val="00702F19"/>
    <w:rsid w:val="00713C7A"/>
    <w:rsid w:val="00722F1A"/>
    <w:rsid w:val="00735D7F"/>
    <w:rsid w:val="007540AC"/>
    <w:rsid w:val="0076356F"/>
    <w:rsid w:val="00767721"/>
    <w:rsid w:val="00774ADB"/>
    <w:rsid w:val="00774B06"/>
    <w:rsid w:val="00775874"/>
    <w:rsid w:val="00781AEF"/>
    <w:rsid w:val="00795315"/>
    <w:rsid w:val="00795896"/>
    <w:rsid w:val="007A09C5"/>
    <w:rsid w:val="007A766A"/>
    <w:rsid w:val="007B0ABC"/>
    <w:rsid w:val="007B55B2"/>
    <w:rsid w:val="007C4C9D"/>
    <w:rsid w:val="007D0007"/>
    <w:rsid w:val="007D2E0C"/>
    <w:rsid w:val="007D45A8"/>
    <w:rsid w:val="007E43D7"/>
    <w:rsid w:val="007E4AE6"/>
    <w:rsid w:val="007F01E3"/>
    <w:rsid w:val="007F7094"/>
    <w:rsid w:val="00801DC2"/>
    <w:rsid w:val="00805947"/>
    <w:rsid w:val="00811D0C"/>
    <w:rsid w:val="008172F1"/>
    <w:rsid w:val="008218CE"/>
    <w:rsid w:val="00825DF7"/>
    <w:rsid w:val="00834E92"/>
    <w:rsid w:val="00840FF1"/>
    <w:rsid w:val="00841E9F"/>
    <w:rsid w:val="0085725F"/>
    <w:rsid w:val="00876E99"/>
    <w:rsid w:val="008951E2"/>
    <w:rsid w:val="008A0455"/>
    <w:rsid w:val="008A0C0D"/>
    <w:rsid w:val="008A1B99"/>
    <w:rsid w:val="008A3539"/>
    <w:rsid w:val="008A697D"/>
    <w:rsid w:val="008D155A"/>
    <w:rsid w:val="0090212C"/>
    <w:rsid w:val="009047C4"/>
    <w:rsid w:val="009075F6"/>
    <w:rsid w:val="00912FB6"/>
    <w:rsid w:val="00915D8A"/>
    <w:rsid w:val="00917537"/>
    <w:rsid w:val="0092004C"/>
    <w:rsid w:val="00923F32"/>
    <w:rsid w:val="009252ED"/>
    <w:rsid w:val="00926FDC"/>
    <w:rsid w:val="0093343C"/>
    <w:rsid w:val="009379E9"/>
    <w:rsid w:val="00942B89"/>
    <w:rsid w:val="00945195"/>
    <w:rsid w:val="0094778E"/>
    <w:rsid w:val="00960385"/>
    <w:rsid w:val="00960D09"/>
    <w:rsid w:val="0097284B"/>
    <w:rsid w:val="00976253"/>
    <w:rsid w:val="009826C8"/>
    <w:rsid w:val="009826FE"/>
    <w:rsid w:val="009850E4"/>
    <w:rsid w:val="00985137"/>
    <w:rsid w:val="00991931"/>
    <w:rsid w:val="00992AA1"/>
    <w:rsid w:val="00994DC3"/>
    <w:rsid w:val="009A0868"/>
    <w:rsid w:val="009B0FF3"/>
    <w:rsid w:val="009F1AF3"/>
    <w:rsid w:val="009F215B"/>
    <w:rsid w:val="009F36B3"/>
    <w:rsid w:val="009F598B"/>
    <w:rsid w:val="00A01C4C"/>
    <w:rsid w:val="00A0780C"/>
    <w:rsid w:val="00A11374"/>
    <w:rsid w:val="00A173EB"/>
    <w:rsid w:val="00A257E8"/>
    <w:rsid w:val="00A31805"/>
    <w:rsid w:val="00A458BD"/>
    <w:rsid w:val="00A4673F"/>
    <w:rsid w:val="00A5189B"/>
    <w:rsid w:val="00A53EAB"/>
    <w:rsid w:val="00A7128B"/>
    <w:rsid w:val="00A76C25"/>
    <w:rsid w:val="00A80978"/>
    <w:rsid w:val="00A827A3"/>
    <w:rsid w:val="00A918F2"/>
    <w:rsid w:val="00A93E76"/>
    <w:rsid w:val="00AA6336"/>
    <w:rsid w:val="00AC2C9B"/>
    <w:rsid w:val="00AC3170"/>
    <w:rsid w:val="00AD15D9"/>
    <w:rsid w:val="00AD7D2E"/>
    <w:rsid w:val="00AE27F3"/>
    <w:rsid w:val="00AF67D8"/>
    <w:rsid w:val="00B1109A"/>
    <w:rsid w:val="00B22B93"/>
    <w:rsid w:val="00B26603"/>
    <w:rsid w:val="00B30381"/>
    <w:rsid w:val="00B35510"/>
    <w:rsid w:val="00B51009"/>
    <w:rsid w:val="00B65D0A"/>
    <w:rsid w:val="00B75CDC"/>
    <w:rsid w:val="00B8307B"/>
    <w:rsid w:val="00BA6280"/>
    <w:rsid w:val="00BA7BB4"/>
    <w:rsid w:val="00BB3E5B"/>
    <w:rsid w:val="00BB62DF"/>
    <w:rsid w:val="00BC1C05"/>
    <w:rsid w:val="00BD01E8"/>
    <w:rsid w:val="00BD2938"/>
    <w:rsid w:val="00BE20EE"/>
    <w:rsid w:val="00BF08D4"/>
    <w:rsid w:val="00BF1F5F"/>
    <w:rsid w:val="00C05CC4"/>
    <w:rsid w:val="00C15482"/>
    <w:rsid w:val="00C1663B"/>
    <w:rsid w:val="00C1740C"/>
    <w:rsid w:val="00C218A3"/>
    <w:rsid w:val="00C2648F"/>
    <w:rsid w:val="00C3775D"/>
    <w:rsid w:val="00C37939"/>
    <w:rsid w:val="00C46253"/>
    <w:rsid w:val="00C56976"/>
    <w:rsid w:val="00C64505"/>
    <w:rsid w:val="00C72AC0"/>
    <w:rsid w:val="00C743ED"/>
    <w:rsid w:val="00C761D7"/>
    <w:rsid w:val="00C87039"/>
    <w:rsid w:val="00C94374"/>
    <w:rsid w:val="00C945AB"/>
    <w:rsid w:val="00C965E3"/>
    <w:rsid w:val="00C97354"/>
    <w:rsid w:val="00CA4F6F"/>
    <w:rsid w:val="00CA5777"/>
    <w:rsid w:val="00CB12EE"/>
    <w:rsid w:val="00CC11EE"/>
    <w:rsid w:val="00CD5916"/>
    <w:rsid w:val="00CE510B"/>
    <w:rsid w:val="00CF201E"/>
    <w:rsid w:val="00D01CA9"/>
    <w:rsid w:val="00D043AB"/>
    <w:rsid w:val="00D04688"/>
    <w:rsid w:val="00D11815"/>
    <w:rsid w:val="00D14A8C"/>
    <w:rsid w:val="00D174EF"/>
    <w:rsid w:val="00D30310"/>
    <w:rsid w:val="00D31BDD"/>
    <w:rsid w:val="00D33E8A"/>
    <w:rsid w:val="00D473D1"/>
    <w:rsid w:val="00D50B0A"/>
    <w:rsid w:val="00D51405"/>
    <w:rsid w:val="00D56210"/>
    <w:rsid w:val="00D575D9"/>
    <w:rsid w:val="00D579AC"/>
    <w:rsid w:val="00D607B6"/>
    <w:rsid w:val="00D75417"/>
    <w:rsid w:val="00D81DFB"/>
    <w:rsid w:val="00D83F26"/>
    <w:rsid w:val="00D9592C"/>
    <w:rsid w:val="00D97E49"/>
    <w:rsid w:val="00DA4EC9"/>
    <w:rsid w:val="00DA5D50"/>
    <w:rsid w:val="00DB047A"/>
    <w:rsid w:val="00DC1621"/>
    <w:rsid w:val="00DC44BC"/>
    <w:rsid w:val="00DD1832"/>
    <w:rsid w:val="00DE3A59"/>
    <w:rsid w:val="00DE3D2E"/>
    <w:rsid w:val="00DE79BF"/>
    <w:rsid w:val="00DF5459"/>
    <w:rsid w:val="00E01A4A"/>
    <w:rsid w:val="00E2203C"/>
    <w:rsid w:val="00E2409C"/>
    <w:rsid w:val="00E34177"/>
    <w:rsid w:val="00E40C4E"/>
    <w:rsid w:val="00E64C2A"/>
    <w:rsid w:val="00E75194"/>
    <w:rsid w:val="00E83779"/>
    <w:rsid w:val="00E935C4"/>
    <w:rsid w:val="00E93D5A"/>
    <w:rsid w:val="00E954AF"/>
    <w:rsid w:val="00EA59D8"/>
    <w:rsid w:val="00EB077F"/>
    <w:rsid w:val="00EB1B99"/>
    <w:rsid w:val="00EB45DA"/>
    <w:rsid w:val="00EC1044"/>
    <w:rsid w:val="00ED5774"/>
    <w:rsid w:val="00EE210F"/>
    <w:rsid w:val="00EF4CF9"/>
    <w:rsid w:val="00F016D1"/>
    <w:rsid w:val="00F04951"/>
    <w:rsid w:val="00F10D30"/>
    <w:rsid w:val="00F112FA"/>
    <w:rsid w:val="00F15E8A"/>
    <w:rsid w:val="00F2565F"/>
    <w:rsid w:val="00F272E8"/>
    <w:rsid w:val="00F2765B"/>
    <w:rsid w:val="00F359B6"/>
    <w:rsid w:val="00F37179"/>
    <w:rsid w:val="00F464FC"/>
    <w:rsid w:val="00F5557F"/>
    <w:rsid w:val="00F55A9C"/>
    <w:rsid w:val="00F64C8A"/>
    <w:rsid w:val="00F65B6F"/>
    <w:rsid w:val="00F747A1"/>
    <w:rsid w:val="00F74FB0"/>
    <w:rsid w:val="00F82D87"/>
    <w:rsid w:val="00F936A1"/>
    <w:rsid w:val="00FB2993"/>
    <w:rsid w:val="00FB34FF"/>
    <w:rsid w:val="00FC5EEC"/>
    <w:rsid w:val="00FD1991"/>
    <w:rsid w:val="00FD6628"/>
    <w:rsid w:val="00FD66ED"/>
    <w:rsid w:val="00FE4DD0"/>
    <w:rsid w:val="00FE6A3E"/>
    <w:rsid w:val="00FF202B"/>
    <w:rsid w:val="00FF428F"/>
    <w:rsid w:val="00FF5C10"/>
    <w:rsid w:val="02A74515"/>
    <w:rsid w:val="0EF8658A"/>
    <w:rsid w:val="13E255CA"/>
    <w:rsid w:val="148701B3"/>
    <w:rsid w:val="16A41332"/>
    <w:rsid w:val="1E5E7BD5"/>
    <w:rsid w:val="21277F06"/>
    <w:rsid w:val="22B14805"/>
    <w:rsid w:val="23724D9F"/>
    <w:rsid w:val="26E21430"/>
    <w:rsid w:val="2DFC483F"/>
    <w:rsid w:val="2E9A6430"/>
    <w:rsid w:val="319B1497"/>
    <w:rsid w:val="34CD5D3B"/>
    <w:rsid w:val="35AF1C47"/>
    <w:rsid w:val="392722B3"/>
    <w:rsid w:val="3BA268AB"/>
    <w:rsid w:val="43C16FDC"/>
    <w:rsid w:val="45BA3BC5"/>
    <w:rsid w:val="45E14D93"/>
    <w:rsid w:val="499F32FC"/>
    <w:rsid w:val="4E06623E"/>
    <w:rsid w:val="51951CB6"/>
    <w:rsid w:val="56E54438"/>
    <w:rsid w:val="5A8071A2"/>
    <w:rsid w:val="5CF16231"/>
    <w:rsid w:val="5F87558E"/>
    <w:rsid w:val="677516E6"/>
    <w:rsid w:val="6A8531B7"/>
    <w:rsid w:val="6BBD7FEA"/>
    <w:rsid w:val="6C8B6C65"/>
    <w:rsid w:val="6F5B480B"/>
    <w:rsid w:val="6F976804"/>
    <w:rsid w:val="70657A0E"/>
    <w:rsid w:val="725737EC"/>
    <w:rsid w:val="72D02086"/>
    <w:rsid w:val="75CF2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 w:type="paragraph" w:styleId="ac">
    <w:name w:val="List Paragraph"/>
    <w:basedOn w:val="a"/>
    <w:uiPriority w:val="9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 w:type="paragraph" w:styleId="ac">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C200D7-E6E7-4CBE-9943-AF805369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TotalTime>
  <Pages>6</Pages>
  <Words>660</Words>
  <Characters>3765</Characters>
  <Application>Microsoft Office Word</Application>
  <DocSecurity>0</DocSecurity>
  <Lines>31</Lines>
  <Paragraphs>8</Paragraphs>
  <ScaleCrop>false</ScaleCrop>
  <Company>Microsoft</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陕西师范大学关于做好学术型研究生培养方案修订工作的通知</dc:title>
  <dc:creator>ly</dc:creator>
  <cp:lastModifiedBy>pc</cp:lastModifiedBy>
  <cp:revision>43</cp:revision>
  <cp:lastPrinted>2021-06-07T10:20:00Z</cp:lastPrinted>
  <dcterms:created xsi:type="dcterms:W3CDTF">2021-06-09T10:12:00Z</dcterms:created>
  <dcterms:modified xsi:type="dcterms:W3CDTF">2021-10-09T01:33:00Z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2E1B99B8A5464CD983E437166457B14B</vt:lpwstr>
  </property>
</Properties>
</file>